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AB5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4</w:t>
      </w:r>
    </w:p>
    <w:p w14:paraId="4A138D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</w:pPr>
    </w:p>
    <w:p w14:paraId="5EA24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综合评审细则</w:t>
      </w:r>
    </w:p>
    <w:p w14:paraId="36A486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51A5019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</w:t>
      </w:r>
      <w:r>
        <w:rPr>
          <w:rFonts w:hint="eastAsia" w:ascii="黑体" w:hAnsi="黑体" w:cs="黑体"/>
          <w:b w:val="0"/>
          <w:bCs w:val="0"/>
          <w:sz w:val="32"/>
          <w:szCs w:val="32"/>
          <w:lang w:val="en-US" w:eastAsia="zh-CN"/>
        </w:rPr>
        <w:t>报价部分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评审（</w:t>
      </w:r>
      <w:r>
        <w:rPr>
          <w:rFonts w:hint="eastAsia" w:ascii="黑体" w:hAnsi="黑体" w:cs="黑体"/>
          <w:b w:val="0"/>
          <w:bCs w:val="0"/>
          <w:sz w:val="32"/>
          <w:szCs w:val="32"/>
          <w:lang w:val="en-US" w:eastAsia="zh-CN"/>
        </w:rPr>
        <w:t>40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分）</w:t>
      </w:r>
    </w:p>
    <w:p w14:paraId="0E4F8F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本项目合作期间营业额提成比例、一次性投入报价、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年度人力支出报价、活动场次，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以上指标均已设置底价，意向合作方报价低于底价的，则视为响应文件无效，不予参与综合评审。</w:t>
      </w:r>
    </w:p>
    <w:p w14:paraId="63A2BD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计分规则：</w:t>
      </w:r>
    </w:p>
    <w:p w14:paraId="028437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第4-6年提成比例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（满分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分）</w:t>
      </w:r>
    </w:p>
    <w:p w14:paraId="091E7E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以所有意向合作方的第4-6年最高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提成比例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为基准价，意向合作方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提成比例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÷基准价×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，计算得出本项得分，得分保留两位小数。最高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提成比例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的意向合作方，该项得满分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2B2050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-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年提成比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例报价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（满分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分）</w:t>
      </w:r>
    </w:p>
    <w:p w14:paraId="3153AA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以所有意向合作方的第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-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年最高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提成比例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为基准价，意向合作方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提成比例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÷基准价×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，计算得出本项得分，得分保留两位小数。最高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提成比例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的意向合作方，该项得满分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37362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一次性投入报价（满分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分）</w:t>
      </w:r>
    </w:p>
    <w:p w14:paraId="5AFAB3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以所有意向合作方的一次性投入最高报价为基准价，意向合作方报价÷基准价×1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，计算得出本项得分，得分保留两位小数。最高报价的意向合作方，该项得满分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2C97C6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人力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支出报价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（满分10分）</w:t>
      </w:r>
    </w:p>
    <w:p w14:paraId="225A0F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以所有意向合作方的最高年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人力支出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 w:bidi="ar"/>
        </w:rPr>
        <w:t>报价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为基准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，意向合作方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人力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÷基准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×10，计算得出本项得分，得分保留两位小数。最高年人力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支出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的意向合作方，该项得满分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1DD950A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（5）主题活动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特色体验服务或自然艺术课程活动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场次（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满分10分）</w:t>
      </w:r>
    </w:p>
    <w:p w14:paraId="4A7C06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以所有意向合作方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所报的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最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多的活动合计场次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为基准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值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，意向合作方活动合计场次÷基准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值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×10，计算得出本项得分，得分保留两位小数。最多活动合计场次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意向合作方，该项得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满分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7AEF3C4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二、商务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部分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评审（</w:t>
      </w:r>
      <w:r>
        <w:rPr>
          <w:rFonts w:hint="eastAsia" w:ascii="黑体" w:hAnsi="黑体" w:cs="黑体"/>
          <w:b w:val="0"/>
          <w:bCs w:val="0"/>
          <w:sz w:val="32"/>
          <w:szCs w:val="32"/>
          <w:lang w:val="en-US" w:eastAsia="zh-CN"/>
        </w:rPr>
        <w:t>15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分）</w:t>
      </w:r>
    </w:p>
    <w:p w14:paraId="210AB1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1.同类项目运营经验（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分）</w:t>
      </w:r>
    </w:p>
    <w:p w14:paraId="156172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近三年（2023-2025年）独立运营文创书店、美术馆、主题咖啡馆或文旅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融合类项目，每运营1个项目且运营满1年及以上的，得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分（封顶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分）。</w:t>
      </w:r>
    </w:p>
    <w:p w14:paraId="116F2C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评审认定规则：需提供项目运营合同或合作协议、运营期间相关业绩证明材料（如运营报告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媒体报道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活动记录等），经评审组认定后计分。</w:t>
      </w:r>
    </w:p>
    <w:p w14:paraId="5A22D2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2.文化资源与合作能力（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分）</w:t>
      </w:r>
    </w:p>
    <w:p w14:paraId="2596B6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具有行业大咖、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艺术家、作家、生活方式达人等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资源，有良好的互动合作案例，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每1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得2分（封顶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分）。认定规则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需提供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互动合作的相关佐证，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经评审组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认定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后计分。</w:t>
      </w:r>
    </w:p>
    <w:p w14:paraId="20D6EAC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</w:t>
      </w:r>
      <w:r>
        <w:rPr>
          <w:rFonts w:hint="eastAsia" w:ascii="黑体" w:hAnsi="黑体" w:cs="黑体"/>
          <w:b w:val="0"/>
          <w:bCs w:val="0"/>
          <w:sz w:val="32"/>
          <w:szCs w:val="32"/>
          <w:lang w:val="en-US" w:eastAsia="zh-CN"/>
        </w:rPr>
        <w:t>主理人运营方案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评审（</w:t>
      </w:r>
      <w:r>
        <w:rPr>
          <w:rFonts w:hint="eastAsia" w:ascii="黑体" w:hAnsi="黑体" w:cs="黑体"/>
          <w:b w:val="0"/>
          <w:bCs w:val="0"/>
          <w:sz w:val="32"/>
          <w:szCs w:val="32"/>
          <w:lang w:val="en-US" w:eastAsia="zh-CN"/>
        </w:rPr>
        <w:t>45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分）</w:t>
      </w:r>
    </w:p>
    <w:p w14:paraId="2E89C5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西塞山景区山顶空间主理人运营方案，包含整体运营思路、西塞山文化品牌塑造与传播思路、空间业态运营及配套服务思路、活动策划与自然艺术课程思路、研学项目策划思路、SOP标准化体系建设思路等维度，内容详实完整、思路清晰合理，符合本项目运营需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CF555">
    <w:pPr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7B254F"/>
    <w:rsid w:val="02E05AE6"/>
    <w:rsid w:val="11694584"/>
    <w:rsid w:val="16560A97"/>
    <w:rsid w:val="425633E1"/>
    <w:rsid w:val="48C610E5"/>
    <w:rsid w:val="54945F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</w:rPr>
  </w:style>
  <w:style w:type="paragraph" w:styleId="2">
    <w:name w:val="heading 1"/>
    <w:next w:val="1"/>
    <w:qFormat/>
    <w:uiPriority w:val="0"/>
    <w:pPr>
      <w:spacing w:before="240" w:after="240"/>
      <w:outlineLvl w:val="0"/>
    </w:pPr>
    <w:rPr>
      <w:rFonts w:ascii="Times New Roman" w:hAnsi="Times New Roman" w:eastAsia="黑体" w:cs="Times New Roman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200" w:after="200"/>
      <w:outlineLvl w:val="1"/>
    </w:pPr>
    <w:rPr>
      <w:rFonts w:ascii="Times New Roman" w:hAnsi="Times New Roman" w:eastAsia="黑体" w:cs="Times New Roman"/>
      <w:b/>
      <w:bCs/>
      <w:sz w:val="32"/>
      <w:szCs w:val="32"/>
    </w:rPr>
  </w:style>
  <w:style w:type="paragraph" w:styleId="4">
    <w:name w:val="heading 3"/>
    <w:next w:val="1"/>
    <w:qFormat/>
    <w:uiPriority w:val="0"/>
    <w:rPr>
      <w:rFonts w:ascii="Times New Roman" w:hAnsi="Times New Roman" w:eastAsia="仿宋_GB2312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仿宋_GB2312" w:cs="Times New Roman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hAnsi="Times New Roman" w:eastAsia="仿宋_GB2312" w:cs="Times New Roman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9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9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仿宋_GB2312" w:cs="Times New Roman"/>
      <w:sz w:val="56"/>
      <w:szCs w:val="56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customStyle="1" w:styleId="18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953</Words>
  <Characters>984</Characters>
  <TotalTime>1</TotalTime>
  <ScaleCrop>false</ScaleCrop>
  <LinksUpToDate>false</LinksUpToDate>
  <CharactersWithSpaces>984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2026-09-15T08:53:00Z</dcterms:created>
  <dc:creator>Un-named</dc:creator>
  <cp:lastModifiedBy>夏丽</cp:lastModifiedBy>
  <dcterms:modified xsi:type="dcterms:W3CDTF">2026-09-18T03:28:17Z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eyJoZGlkIjoiZTc4MDc4MGViMDZhM2I2NmMyNDVmZjg4MGEwYmQxNzUiLCJ1c2VySWQiOiIzODExMTY4NjUifQ==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274CEC95F9464F8AAA7E3339491C5CFF_13</vt:lpwstr>
  </property>
</Properties>
</file>