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2818E">
      <w:pPr>
        <w:rPr>
          <w:rFonts w:hint="default" w:ascii="黑体" w:hAnsi="黑体" w:eastAsia="黑体" w:cs="黑体"/>
          <w:b w:val="0"/>
          <w:bCs w:val="0"/>
          <w:color w:val="auto"/>
          <w:kern w:val="2"/>
          <w:sz w:val="28"/>
          <w:szCs w:val="28"/>
          <w:highlight w:val="none"/>
          <w:lang w:val="en-US" w:eastAsia="zh-CN" w:bidi="zh-CN"/>
        </w:rPr>
      </w:pPr>
      <w:bookmarkStart w:id="0" w:name="_Toc20081"/>
      <w:r>
        <w:rPr>
          <w:rFonts w:hint="eastAsia" w:ascii="黑体" w:hAnsi="黑体" w:eastAsia="黑体" w:cs="黑体"/>
          <w:b w:val="0"/>
          <w:bCs w:val="0"/>
          <w:color w:val="auto"/>
          <w:kern w:val="2"/>
          <w:sz w:val="28"/>
          <w:szCs w:val="28"/>
          <w:highlight w:val="none"/>
          <w:lang w:val="en-US" w:eastAsia="zh-CN" w:bidi="zh-CN"/>
        </w:rPr>
        <w:t>附件2</w:t>
      </w:r>
    </w:p>
    <w:p w14:paraId="541FBEE2">
      <w:pPr>
        <w:pStyle w:val="4"/>
        <w:tabs>
          <w:tab w:val="left" w:pos="1286"/>
        </w:tabs>
        <w:snapToGrid w:val="0"/>
        <w:spacing w:before="21" w:line="240" w:lineRule="auto"/>
        <w:textAlignment w:val="baseline"/>
        <w:rPr>
          <w:rFonts w:hint="eastAsia" w:ascii="方正小标宋简体" w:hAnsi="方正小标宋简体" w:eastAsia="方正小标宋简体" w:cs="方正小标宋简体"/>
          <w:b w:val="0"/>
          <w:bCs w:val="0"/>
          <w:color w:val="auto"/>
          <w:sz w:val="44"/>
          <w:szCs w:val="44"/>
          <w:highlight w:val="red"/>
          <w:lang w:val="en-US"/>
        </w:rPr>
      </w:pPr>
      <w:r>
        <w:rPr>
          <w:rFonts w:hint="eastAsia" w:ascii="方正小标宋简体" w:hAnsi="方正小标宋简体" w:eastAsia="方正小标宋简体" w:cs="方正小标宋简体"/>
          <w:b w:val="0"/>
          <w:bCs w:val="0"/>
          <w:color w:val="auto"/>
          <w:sz w:val="44"/>
          <w:szCs w:val="44"/>
          <w:highlight w:val="none"/>
        </w:rPr>
        <w:t>评标办法</w:t>
      </w:r>
      <w:bookmarkEnd w:id="0"/>
      <w:bookmarkStart w:id="1" w:name="_Toc11870"/>
    </w:p>
    <w:p w14:paraId="53C1E5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rPr>
      </w:pPr>
      <w:r>
        <w:rPr>
          <w:rFonts w:hint="eastAsia" w:ascii="黑体" w:hAnsi="黑体" w:eastAsia="黑体" w:cs="黑体"/>
          <w:b w:val="0"/>
          <w:bCs/>
          <w:color w:val="auto"/>
          <w:sz w:val="32"/>
          <w:szCs w:val="32"/>
          <w:highlight w:val="none"/>
          <w:lang w:val="en-US" w:eastAsia="zh-CN"/>
        </w:rPr>
        <w:t>一、</w:t>
      </w:r>
      <w:r>
        <w:rPr>
          <w:rFonts w:hint="eastAsia" w:ascii="黑体" w:hAnsi="黑体" w:eastAsia="黑体" w:cs="黑体"/>
          <w:b w:val="0"/>
          <w:bCs/>
          <w:color w:val="auto"/>
          <w:sz w:val="32"/>
          <w:szCs w:val="32"/>
          <w:highlight w:val="none"/>
          <w:lang w:val="en-US"/>
        </w:rPr>
        <w:t>资格评审标准</w:t>
      </w:r>
      <w:bookmarkEnd w:id="1"/>
    </w:p>
    <w:p w14:paraId="24A4AAC7">
      <w:pPr>
        <w:pStyle w:val="3"/>
        <w:keepNext w:val="0"/>
        <w:keepLines w:val="0"/>
        <w:pageBreakBefore w:val="0"/>
        <w:widowControl w:val="0"/>
        <w:kinsoku/>
        <w:wordWrap/>
        <w:overflowPunct/>
        <w:topLinePunct w:val="0"/>
        <w:autoSpaceDE/>
        <w:autoSpaceDN/>
        <w:bidi w:val="0"/>
        <w:adjustRightInd/>
        <w:snapToGrid w:val="0"/>
        <w:spacing w:line="560" w:lineRule="exact"/>
        <w:ind w:firstLine="60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sz w:val="32"/>
          <w:szCs w:val="32"/>
          <w:highlight w:val="none"/>
        </w:rPr>
        <w:t>本项目采取资格后审合格/不合格制</w:t>
      </w:r>
      <w:r>
        <w:rPr>
          <w:rFonts w:hint="eastAsia" w:ascii="仿宋_GB2312" w:hAnsi="仿宋_GB2312" w:eastAsia="仿宋_GB2312" w:cs="仿宋_GB2312"/>
          <w:color w:val="auto"/>
          <w:sz w:val="32"/>
          <w:szCs w:val="32"/>
          <w:highlight w:val="none"/>
        </w:rPr>
        <w:t>。投标人提供的全部资料必须准确详细，以便本项目评标委员会做到正确判断。资格后审将完全依据投标人提供的资料，或者按评委要求对所投标文件的澄清材料</w:t>
      </w:r>
      <w:r>
        <w:rPr>
          <w:rFonts w:hint="eastAsia" w:ascii="仿宋_GB2312" w:hAnsi="仿宋_GB2312" w:eastAsia="仿宋_GB2312" w:cs="仿宋_GB2312"/>
          <w:color w:val="auto"/>
          <w:sz w:val="32"/>
          <w:szCs w:val="32"/>
          <w:highlight w:val="none"/>
          <w:lang w:eastAsia="zh-CN"/>
        </w:rPr>
        <w:t>进行审查。</w:t>
      </w:r>
      <w:r>
        <w:rPr>
          <w:rFonts w:hint="eastAsia" w:ascii="仿宋_GB2312" w:hAnsi="仿宋_GB2312" w:eastAsia="仿宋_GB2312" w:cs="仿宋_GB2312"/>
          <w:color w:val="auto"/>
          <w:sz w:val="32"/>
          <w:szCs w:val="32"/>
          <w:highlight w:val="none"/>
        </w:rPr>
        <w:t>如果没按要求在投标文件中提供具体材料，如有一项</w:t>
      </w:r>
      <w:r>
        <w:rPr>
          <w:rFonts w:hint="eastAsia" w:ascii="仿宋_GB2312" w:hAnsi="仿宋_GB2312" w:eastAsia="仿宋_GB2312" w:cs="仿宋_GB2312"/>
          <w:color w:val="auto"/>
          <w:sz w:val="32"/>
          <w:szCs w:val="32"/>
          <w:highlight w:val="none"/>
          <w:lang w:eastAsia="zh-CN"/>
        </w:rPr>
        <w:t>被认定为</w:t>
      </w:r>
      <w:r>
        <w:rPr>
          <w:rFonts w:hint="eastAsia" w:ascii="仿宋_GB2312" w:hAnsi="仿宋_GB2312" w:eastAsia="仿宋_GB2312" w:cs="仿宋_GB2312"/>
          <w:color w:val="auto"/>
          <w:sz w:val="32"/>
          <w:szCs w:val="32"/>
          <w:highlight w:val="none"/>
        </w:rPr>
        <w:t>不合格，报评标委员会审定后，可直接判定投标人资格不合格，其投标文件不予评审。</w:t>
      </w:r>
    </w:p>
    <w:p w14:paraId="7367CADC">
      <w:pPr>
        <w:snapToGrid w:val="0"/>
        <w:spacing w:line="460" w:lineRule="exact"/>
        <w:ind w:firstLine="640" w:firstLineChars="200"/>
        <w:jc w:val="both"/>
        <w:textAlignment w:val="baseline"/>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资格后审合格条件标准</w:t>
      </w:r>
    </w:p>
    <w:tbl>
      <w:tblPr>
        <w:tblStyle w:val="11"/>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0"/>
        <w:gridCol w:w="7340"/>
        <w:gridCol w:w="1140"/>
      </w:tblGrid>
      <w:tr w14:paraId="6B60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jc w:val="center"/>
        </w:trPr>
        <w:tc>
          <w:tcPr>
            <w:tcW w:w="9300" w:type="dxa"/>
            <w:gridSpan w:val="3"/>
            <w:vAlign w:val="center"/>
          </w:tcPr>
          <w:p w14:paraId="0A6BC733">
            <w:pPr>
              <w:pStyle w:val="15"/>
              <w:snapToGrid w:val="0"/>
              <w:spacing w:line="460" w:lineRule="exact"/>
              <w:ind w:firstLine="562" w:firstLineChars="200"/>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一、资格审查</w:t>
            </w:r>
          </w:p>
        </w:tc>
      </w:tr>
      <w:tr w14:paraId="55D3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jc w:val="center"/>
        </w:trPr>
        <w:tc>
          <w:tcPr>
            <w:tcW w:w="820" w:type="dxa"/>
            <w:vAlign w:val="center"/>
          </w:tcPr>
          <w:p w14:paraId="03CF3651">
            <w:pPr>
              <w:pStyle w:val="15"/>
              <w:snapToGrid w:val="0"/>
              <w:spacing w:line="460" w:lineRule="exact"/>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序号</w:t>
            </w:r>
          </w:p>
        </w:tc>
        <w:tc>
          <w:tcPr>
            <w:tcW w:w="7340" w:type="dxa"/>
            <w:vAlign w:val="center"/>
          </w:tcPr>
          <w:p w14:paraId="428E26C8">
            <w:pPr>
              <w:pStyle w:val="15"/>
              <w:snapToGrid w:val="0"/>
              <w:spacing w:line="460" w:lineRule="exact"/>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招标文件要求</w:t>
            </w:r>
          </w:p>
        </w:tc>
        <w:tc>
          <w:tcPr>
            <w:tcW w:w="1140" w:type="dxa"/>
            <w:vAlign w:val="center"/>
          </w:tcPr>
          <w:p w14:paraId="515DBA3F">
            <w:pPr>
              <w:pStyle w:val="15"/>
              <w:snapToGrid w:val="0"/>
              <w:spacing w:line="460" w:lineRule="exact"/>
              <w:ind w:firstLine="281" w:firstLineChars="100"/>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说明</w:t>
            </w:r>
          </w:p>
        </w:tc>
      </w:tr>
      <w:tr w14:paraId="3937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6" w:hRule="atLeast"/>
          <w:jc w:val="center"/>
        </w:trPr>
        <w:tc>
          <w:tcPr>
            <w:tcW w:w="820" w:type="dxa"/>
            <w:vAlign w:val="center"/>
          </w:tcPr>
          <w:p w14:paraId="231BEF6C">
            <w:pPr>
              <w:pStyle w:val="15"/>
              <w:snapToGrid w:val="0"/>
              <w:spacing w:line="460" w:lineRule="exact"/>
              <w:jc w:val="center"/>
              <w:textAlignment w:val="baseline"/>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p>
        </w:tc>
        <w:tc>
          <w:tcPr>
            <w:tcW w:w="7340" w:type="dxa"/>
          </w:tcPr>
          <w:p w14:paraId="3E790A4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8"/>
                <w:szCs w:val="28"/>
                <w:highlight w:val="none"/>
                <w:u w:val="none"/>
                <w:lang w:eastAsia="zh-CN"/>
              </w:rPr>
            </w:pPr>
            <w:r>
              <w:rPr>
                <w:rFonts w:hint="eastAsia" w:ascii="仿宋_GB2312" w:hAnsi="仿宋_GB2312" w:eastAsia="仿宋_GB2312" w:cs="仿宋_GB2312"/>
                <w:b/>
                <w:bCs/>
                <w:color w:val="auto"/>
                <w:kern w:val="2"/>
                <w:sz w:val="28"/>
                <w:szCs w:val="28"/>
                <w:highlight w:val="none"/>
                <w:lang w:val="en-US" w:eastAsia="zh-CN" w:bidi="ar-SA"/>
              </w:rPr>
              <w:t>主体资质</w:t>
            </w:r>
            <w:r>
              <w:rPr>
                <w:rFonts w:hint="eastAsia" w:ascii="仿宋_GB2312" w:hAnsi="仿宋_GB2312" w:eastAsia="仿宋_GB2312" w:cs="仿宋_GB2312"/>
                <w:color w:val="auto"/>
                <w:kern w:val="2"/>
                <w:sz w:val="28"/>
                <w:szCs w:val="28"/>
                <w:highlight w:val="none"/>
                <w:lang w:val="en-US" w:eastAsia="zh-CN" w:bidi="ar-SA"/>
              </w:rPr>
              <w:t>：主体资质：投标人须为在中华人民共和国境内合法注册的独立法人单位，具备有效的营业执照，经营范围包含相关文物保护工程施工等内容。具备行政主管部门颁发的文物保护工程施工贰级及以上资质（业务范围包含近现代重要史迹及代表性建筑等内容），提供有效安全生产许可证。</w:t>
            </w:r>
          </w:p>
        </w:tc>
        <w:tc>
          <w:tcPr>
            <w:tcW w:w="1140" w:type="dxa"/>
            <w:vMerge w:val="restart"/>
            <w:vAlign w:val="center"/>
          </w:tcPr>
          <w:p w14:paraId="2B4BC41E">
            <w:pPr>
              <w:pStyle w:val="15"/>
              <w:keepNext w:val="0"/>
              <w:keepLines w:val="0"/>
              <w:pageBreakBefore w:val="0"/>
              <w:widowControl w:val="0"/>
              <w:kinsoku/>
              <w:wordWrap/>
              <w:overflowPunct/>
              <w:topLinePunct w:val="0"/>
              <w:autoSpaceDE w:val="0"/>
              <w:autoSpaceDN w:val="0"/>
              <w:bidi w:val="0"/>
              <w:adjustRightInd/>
              <w:snapToGrid w:val="0"/>
              <w:spacing w:line="400" w:lineRule="exact"/>
              <w:jc w:val="both"/>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none"/>
                <w:lang w:val="en-US" w:eastAsia="zh-CN" w:bidi="zh-CN"/>
              </w:rPr>
              <w:t>提供扫描件，凡有一条不符合招标要求的，其投标文件将被否决。</w:t>
            </w:r>
          </w:p>
          <w:p w14:paraId="6E772717">
            <w:pPr>
              <w:pStyle w:val="15"/>
              <w:keepNext w:val="0"/>
              <w:keepLines w:val="0"/>
              <w:pageBreakBefore w:val="0"/>
              <w:widowControl w:val="0"/>
              <w:kinsoku/>
              <w:wordWrap/>
              <w:overflowPunct/>
              <w:topLinePunct w:val="0"/>
              <w:bidi w:val="0"/>
              <w:adjustRightInd/>
              <w:snapToGrid w:val="0"/>
              <w:spacing w:line="400" w:lineRule="exact"/>
              <w:ind w:firstLine="560" w:firstLineChars="200"/>
              <w:jc w:val="both"/>
              <w:textAlignment w:val="baseline"/>
              <w:rPr>
                <w:rFonts w:hint="eastAsia" w:ascii="宋体" w:hAnsi="宋体" w:eastAsia="宋体" w:cs="宋体"/>
                <w:color w:val="auto"/>
                <w:sz w:val="28"/>
                <w:szCs w:val="28"/>
                <w:highlight w:val="none"/>
              </w:rPr>
            </w:pPr>
          </w:p>
        </w:tc>
      </w:tr>
      <w:tr w14:paraId="2604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6" w:hRule="atLeast"/>
          <w:jc w:val="center"/>
        </w:trPr>
        <w:tc>
          <w:tcPr>
            <w:tcW w:w="820" w:type="dxa"/>
            <w:vAlign w:val="center"/>
          </w:tcPr>
          <w:p w14:paraId="03D35755">
            <w:pPr>
              <w:pStyle w:val="15"/>
              <w:snapToGrid w:val="0"/>
              <w:spacing w:line="460" w:lineRule="exact"/>
              <w:jc w:val="center"/>
              <w:textAlignment w:val="baseline"/>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w:t>
            </w:r>
          </w:p>
        </w:tc>
        <w:tc>
          <w:tcPr>
            <w:tcW w:w="7340" w:type="dxa"/>
          </w:tcPr>
          <w:p w14:paraId="321A51C1">
            <w:pPr>
              <w:pStyle w:val="3"/>
              <w:spacing w:before="29" w:line="440" w:lineRule="exact"/>
              <w:ind w:right="18"/>
              <w:rPr>
                <w:rFonts w:hint="eastAsia" w:ascii="仿宋_GB2312" w:hAnsi="仿宋_GB2312" w:eastAsia="仿宋_GB2312" w:cs="仿宋_GB2312"/>
                <w:color w:val="auto"/>
                <w:sz w:val="28"/>
                <w:szCs w:val="28"/>
                <w:highlight w:val="none"/>
                <w:u w:val="none"/>
                <w:lang w:val="en-US" w:eastAsia="zh-CN" w:bidi="zh-CN"/>
              </w:rPr>
            </w:pPr>
            <w:r>
              <w:rPr>
                <w:rFonts w:hint="eastAsia" w:ascii="仿宋_GB2312" w:hAnsi="仿宋_GB2312" w:eastAsia="仿宋_GB2312" w:cs="仿宋_GB2312"/>
                <w:b/>
                <w:bCs/>
                <w:color w:val="auto"/>
                <w:sz w:val="28"/>
                <w:szCs w:val="28"/>
                <w:highlight w:val="none"/>
                <w:u w:val="none"/>
                <w:lang w:val="en-US" w:eastAsia="zh-CN" w:bidi="zh-CN"/>
              </w:rPr>
              <w:t>企业业绩：</w:t>
            </w:r>
            <w:r>
              <w:rPr>
                <w:rFonts w:hint="eastAsia" w:ascii="仿宋_GB2312" w:hAnsi="仿宋_GB2312" w:eastAsia="仿宋_GB2312" w:cs="仿宋_GB2312"/>
                <w:color w:val="auto"/>
                <w:sz w:val="28"/>
                <w:szCs w:val="28"/>
                <w:highlight w:val="none"/>
                <w:lang w:val="en-US" w:eastAsia="zh-CN"/>
              </w:rPr>
              <w:t>业绩要求：</w:t>
            </w:r>
            <w:r>
              <w:rPr>
                <w:rFonts w:hint="eastAsia" w:ascii="仿宋_GB2312" w:hAnsi="仿宋_GB2312" w:eastAsia="仿宋_GB2312" w:cs="仿宋_GB2312"/>
                <w:color w:val="auto"/>
                <w:kern w:val="2"/>
                <w:sz w:val="28"/>
                <w:szCs w:val="28"/>
                <w:highlight w:val="none"/>
                <w:lang w:val="en-US" w:eastAsia="zh-CN" w:bidi="ar-SA"/>
              </w:rPr>
              <w:t>投标人近五年（2021年8月至今）完成过1 项合同金额80万元及以上文保建筑修缮或文保建筑日常维护保养施工业绩。须提供中标通知书、合同协议书和竣工验收证明材料（承担过的工程项目时间以有效证明的落款时间为准）。招标人有权对投标单位提供的业绩进行核实，如发现提供虚假材料，将取消其投标资格，并报相关行政监督管理部门进行处理。</w:t>
            </w:r>
          </w:p>
        </w:tc>
        <w:tc>
          <w:tcPr>
            <w:tcW w:w="1140" w:type="dxa"/>
            <w:vMerge w:val="continue"/>
          </w:tcPr>
          <w:p w14:paraId="4F9686AD">
            <w:pPr>
              <w:pStyle w:val="15"/>
              <w:keepNext w:val="0"/>
              <w:keepLines w:val="0"/>
              <w:pageBreakBefore w:val="0"/>
              <w:widowControl w:val="0"/>
              <w:kinsoku/>
              <w:wordWrap/>
              <w:overflowPunct/>
              <w:topLinePunct w:val="0"/>
              <w:bidi w:val="0"/>
              <w:adjustRightInd/>
              <w:snapToGrid w:val="0"/>
              <w:spacing w:line="400" w:lineRule="exact"/>
              <w:ind w:firstLine="562" w:firstLineChars="200"/>
              <w:jc w:val="both"/>
              <w:textAlignment w:val="baseline"/>
              <w:rPr>
                <w:rFonts w:hint="eastAsia" w:ascii="宋体" w:hAnsi="宋体" w:eastAsia="宋体" w:cs="宋体"/>
                <w:b/>
                <w:color w:val="auto"/>
                <w:sz w:val="28"/>
                <w:szCs w:val="28"/>
                <w:highlight w:val="none"/>
              </w:rPr>
            </w:pPr>
          </w:p>
        </w:tc>
      </w:tr>
      <w:tr w14:paraId="6C9B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80" w:hRule="atLeast"/>
          <w:jc w:val="center"/>
        </w:trPr>
        <w:tc>
          <w:tcPr>
            <w:tcW w:w="820" w:type="dxa"/>
            <w:vAlign w:val="center"/>
          </w:tcPr>
          <w:p w14:paraId="15159265">
            <w:pPr>
              <w:pStyle w:val="15"/>
              <w:snapToGrid w:val="0"/>
              <w:spacing w:line="460" w:lineRule="exact"/>
              <w:jc w:val="center"/>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p>
        </w:tc>
        <w:tc>
          <w:tcPr>
            <w:tcW w:w="7340" w:type="dxa"/>
          </w:tcPr>
          <w:p w14:paraId="12A8CCB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color w:val="auto"/>
                <w:sz w:val="28"/>
                <w:szCs w:val="28"/>
                <w:highlight w:val="none"/>
                <w:u w:val="none"/>
                <w:lang w:val="en-US" w:eastAsia="zh-CN" w:bidi="zh-CN"/>
              </w:rPr>
            </w:pPr>
            <w:r>
              <w:rPr>
                <w:rFonts w:hint="eastAsia" w:ascii="宋体" w:hAnsi="宋体" w:eastAsia="宋体" w:cs="宋体"/>
                <w:b/>
                <w:bCs/>
                <w:color w:val="auto"/>
                <w:kern w:val="2"/>
                <w:sz w:val="28"/>
                <w:szCs w:val="28"/>
                <w:highlight w:val="none"/>
                <w:u w:val="none"/>
                <w:lang w:val="en-US" w:eastAsia="zh-CN" w:bidi="zh-CN"/>
              </w:rPr>
              <w:t>其他要求</w:t>
            </w:r>
            <w:r>
              <w:rPr>
                <w:rFonts w:hint="eastAsia" w:ascii="宋体" w:hAnsi="宋体" w:eastAsia="宋体" w:cs="宋体"/>
                <w:b/>
                <w:bCs/>
                <w:color w:val="auto"/>
                <w:sz w:val="28"/>
                <w:szCs w:val="28"/>
                <w:highlight w:val="none"/>
                <w:u w:val="none"/>
                <w:lang w:val="en-US" w:eastAsia="zh-CN" w:bidi="zh-CN"/>
              </w:rPr>
              <w:t>：</w:t>
            </w:r>
          </w:p>
          <w:p w14:paraId="25987E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（1）投标人需提供近三年无重大违法记录声明，且近3年未被列入失信被执行人、重大税收违法案件当事人名单、采购严重违法失信行为记录名单，信用信息的查询渠道为“信用中国”网站（www.creditchina.gov.cn）。</w:t>
            </w:r>
          </w:p>
          <w:p w14:paraId="3CE69D41">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投标人必须在“中国裁判文书网”查询本单位及法定代表人近三年（查询时间段2023年8月至投标截止日）是否有行贿犯罪记录并提供截图，未提供的或有行贿犯罪记录的投标无效，取消其投标资格。</w:t>
            </w:r>
          </w:p>
          <w:p w14:paraId="666EC53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（3）投标人须提供近两年(2023年和2024年或者2024年和2025年)的财务审计报告，需包含资产负债表、现金流量表、利润表，且每年度利润均大于零。</w:t>
            </w:r>
          </w:p>
          <w:p w14:paraId="3B9E40B4">
            <w:pPr>
              <w:pStyle w:val="3"/>
              <w:spacing w:before="29" w:line="440" w:lineRule="exact"/>
              <w:ind w:right="18"/>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（4）投标人拟派项目经理须具备文物保护责任工程师证书，且未担任其他在施建设工程项目。（提供未在其他项目担任项目经理的相关承诺以及近三个月的社保证明）</w:t>
            </w:r>
          </w:p>
          <w:p w14:paraId="056278B4">
            <w:pPr>
              <w:pStyle w:val="3"/>
              <w:spacing w:before="29" w:line="440" w:lineRule="exact"/>
              <w:ind w:right="18"/>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（5）投标人拟派项目技术负责人具备建筑工程相关专业中级职称及以上。（需提供近三个月的社保证明）</w:t>
            </w:r>
          </w:p>
          <w:p w14:paraId="3A381501">
            <w:pPr>
              <w:pStyle w:val="3"/>
              <w:spacing w:before="29" w:line="440" w:lineRule="exact"/>
              <w:ind w:right="18"/>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（6）投标人针对本项目所投入的施工员、质量员、材料员、资料员和安全员各1人配置齐备，提供人员岗位证书；（需提供近三个月的社保证明）。</w:t>
            </w:r>
          </w:p>
          <w:p w14:paraId="4E7B368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（7）是否接受联合体投标：否。</w:t>
            </w:r>
          </w:p>
          <w:p w14:paraId="6F3E26D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140" w:type="dxa"/>
            <w:vMerge w:val="continue"/>
          </w:tcPr>
          <w:p w14:paraId="3943DDA5">
            <w:pPr>
              <w:pStyle w:val="15"/>
              <w:keepNext w:val="0"/>
              <w:keepLines w:val="0"/>
              <w:pageBreakBefore w:val="0"/>
              <w:widowControl w:val="0"/>
              <w:kinsoku/>
              <w:wordWrap/>
              <w:overflowPunct/>
              <w:topLinePunct w:val="0"/>
              <w:bidi w:val="0"/>
              <w:adjustRightInd/>
              <w:snapToGrid w:val="0"/>
              <w:spacing w:line="400" w:lineRule="exact"/>
              <w:ind w:firstLine="562" w:firstLineChars="200"/>
              <w:jc w:val="both"/>
              <w:textAlignment w:val="baseline"/>
              <w:rPr>
                <w:rFonts w:hint="eastAsia" w:ascii="宋体" w:hAnsi="宋体" w:eastAsia="宋体" w:cs="宋体"/>
                <w:b/>
                <w:color w:val="auto"/>
                <w:sz w:val="28"/>
                <w:szCs w:val="28"/>
                <w:highlight w:val="none"/>
              </w:rPr>
            </w:pPr>
          </w:p>
        </w:tc>
      </w:tr>
    </w:tbl>
    <w:p w14:paraId="509D105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二、评分办法</w:t>
      </w:r>
    </w:p>
    <w:p w14:paraId="47AA5B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本次评标采用综合评分法。综合评分法是指评标委员会根据招标文件的要求，对投标人进行综合评审，经评审后向招标人推荐不超过三名有排序的合格的中标候选人的一种评标办法。</w:t>
      </w:r>
    </w:p>
    <w:p w14:paraId="647DE2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按投标人投标文件送达的先后顺序开标。投标人的投标报价超过招标控制价的为废标。评标委员会将只对通过初步评审的投标文件进行评价和比较。</w:t>
      </w:r>
    </w:p>
    <w:p w14:paraId="4BA9C3C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评分标准（总分100分）投标的综合得分为：</w:t>
      </w:r>
    </w:p>
    <w:tbl>
      <w:tblPr>
        <w:tblStyle w:val="11"/>
        <w:tblW w:w="9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6"/>
        <w:gridCol w:w="1039"/>
        <w:gridCol w:w="1100"/>
        <w:gridCol w:w="5533"/>
      </w:tblGrid>
      <w:tr w14:paraId="3F5C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556" w:type="dxa"/>
            <w:vAlign w:val="center"/>
          </w:tcPr>
          <w:p w14:paraId="1A0AA4C4">
            <w:pPr>
              <w:snapToGrid w:val="0"/>
              <w:jc w:val="center"/>
              <w:textAlignment w:val="baseline"/>
              <w:rPr>
                <w:rFonts w:hint="eastAsia" w:ascii="宋体" w:hAnsi="宋体" w:eastAsia="宋体" w:cs="宋体"/>
                <w:b/>
                <w:bCs/>
                <w:color w:val="auto"/>
                <w:sz w:val="28"/>
                <w:szCs w:val="28"/>
                <w:highlight w:val="red"/>
                <w:lang w:val="en-US" w:eastAsia="zh-CN"/>
              </w:rPr>
            </w:pPr>
            <w:r>
              <w:rPr>
                <w:rFonts w:hint="eastAsia" w:ascii="宋体" w:hAnsi="宋体" w:eastAsia="宋体" w:cs="宋体"/>
                <w:b/>
                <w:bCs/>
                <w:color w:val="auto"/>
                <w:sz w:val="28"/>
                <w:szCs w:val="28"/>
                <w:highlight w:val="none"/>
                <w:lang w:val="en-US" w:eastAsia="zh-CN"/>
              </w:rPr>
              <w:t>项目</w:t>
            </w:r>
          </w:p>
        </w:tc>
        <w:tc>
          <w:tcPr>
            <w:tcW w:w="1039" w:type="dxa"/>
            <w:vAlign w:val="center"/>
          </w:tcPr>
          <w:p w14:paraId="40460797">
            <w:pPr>
              <w:snapToGrid w:val="0"/>
              <w:jc w:val="center"/>
              <w:textAlignment w:val="baseline"/>
              <w:rPr>
                <w:rFonts w:hint="eastAsia" w:ascii="宋体" w:hAnsi="宋体" w:eastAsia="宋体" w:cs="宋体"/>
                <w:b/>
                <w:bCs/>
                <w:color w:val="auto"/>
                <w:sz w:val="28"/>
                <w:szCs w:val="28"/>
                <w:highlight w:val="red"/>
                <w:lang w:val="en-US" w:eastAsia="zh-CN"/>
              </w:rPr>
            </w:pPr>
            <w:r>
              <w:rPr>
                <w:rFonts w:hint="eastAsia" w:ascii="宋体" w:hAnsi="宋体" w:eastAsia="宋体" w:cs="宋体"/>
                <w:b/>
                <w:bCs/>
                <w:color w:val="auto"/>
                <w:sz w:val="28"/>
                <w:szCs w:val="28"/>
                <w:highlight w:val="none"/>
                <w:lang w:val="en-US" w:eastAsia="zh-CN"/>
              </w:rPr>
              <w:t>评分项目</w:t>
            </w:r>
          </w:p>
        </w:tc>
        <w:tc>
          <w:tcPr>
            <w:tcW w:w="1100" w:type="dxa"/>
            <w:vAlign w:val="center"/>
          </w:tcPr>
          <w:p w14:paraId="3ED62D0E">
            <w:pPr>
              <w:snapToGrid w:val="0"/>
              <w:jc w:val="center"/>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分值</w:t>
            </w:r>
          </w:p>
        </w:tc>
        <w:tc>
          <w:tcPr>
            <w:tcW w:w="5533" w:type="dxa"/>
            <w:vAlign w:val="center"/>
          </w:tcPr>
          <w:p w14:paraId="2EF1485D">
            <w:pPr>
              <w:snapToGrid w:val="0"/>
              <w:jc w:val="center"/>
              <w:textAlignment w:val="baseline"/>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评分标准</w:t>
            </w:r>
          </w:p>
        </w:tc>
      </w:tr>
      <w:tr w14:paraId="01CE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556" w:type="dxa"/>
            <w:vAlign w:val="center"/>
          </w:tcPr>
          <w:p w14:paraId="2C268E0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报价部分</w:t>
            </w:r>
          </w:p>
          <w:p w14:paraId="5072321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（30分）</w:t>
            </w:r>
          </w:p>
        </w:tc>
        <w:tc>
          <w:tcPr>
            <w:tcW w:w="1039" w:type="dxa"/>
            <w:vAlign w:val="center"/>
          </w:tcPr>
          <w:p w14:paraId="4C63AEE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bCs/>
                <w:sz w:val="28"/>
                <w:szCs w:val="28"/>
                <w:highlight w:val="none"/>
                <w:lang w:bidi="ar"/>
              </w:rPr>
              <w:t>投标报价评分</w:t>
            </w:r>
          </w:p>
        </w:tc>
        <w:tc>
          <w:tcPr>
            <w:tcW w:w="1100" w:type="dxa"/>
            <w:vAlign w:val="center"/>
          </w:tcPr>
          <w:p w14:paraId="3DC93E6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w:t>
            </w:r>
          </w:p>
        </w:tc>
        <w:tc>
          <w:tcPr>
            <w:tcW w:w="5533" w:type="dxa"/>
            <w:vAlign w:val="center"/>
          </w:tcPr>
          <w:p w14:paraId="0BF5E7E6">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1.确定有效投标报价：以招标控制价为基准，投标报价低于招标控制价的投标报价为有效投标报价，否则为无效投标报价。</w:t>
            </w:r>
          </w:p>
          <w:p w14:paraId="6E9DA2E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2.确定评标基准价： 当N≤6家时，计算全部有效投标报价的算术平均值，作为评标基准价。 当6＜N≤10家时，先将有效投标报价由低到高排序，去除最高和最低投标报价后的剩余投标报价，计算算术平均值，作为评标基准价。 当N＞10家时，先将有效投标报价由低到高排序，去除2个最高投标报价最高价、2个最低投标报价后的剩余投标报价，计算算术平均值，作为评标基准价。 其中N为有效投标报价的投标人数量。</w:t>
            </w:r>
          </w:p>
          <w:p w14:paraId="4E024AE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3.确定投标报价得分: 有效投标报价等于评标基准价时，得该项分值的满分 F＝【30】-（有效投标报价-评标基准价）÷评标基准价×100×【0.2】（有效投标报价＞评标基准价时） F＝【30</w:t>
            </w:r>
            <w:bookmarkStart w:id="2" w:name="_GoBack"/>
            <w:bookmarkEnd w:id="2"/>
            <w:r>
              <w:rPr>
                <w:rFonts w:hint="eastAsia" w:ascii="仿宋_GB2312" w:hAnsi="仿宋_GB2312" w:eastAsia="仿宋_GB2312" w:cs="仿宋_GB2312"/>
                <w:color w:val="auto"/>
                <w:kern w:val="2"/>
                <w:sz w:val="28"/>
                <w:szCs w:val="28"/>
                <w:highlight w:val="none"/>
                <w:u w:val="none"/>
                <w:lang w:val="en-US" w:eastAsia="zh-CN" w:bidi="zh-CN"/>
              </w:rPr>
              <w:t>】-（评标基准价-有效投标报价）÷评标基准价×100×【0.1】   （有效投标报价≤评标基准价时） 其中：F≥0。</w:t>
            </w:r>
          </w:p>
          <w:p w14:paraId="7292779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2"/>
                <w:sz w:val="28"/>
                <w:szCs w:val="28"/>
                <w:highlight w:val="none"/>
                <w:u w:val="none"/>
                <w:lang w:val="en-US" w:eastAsia="zh-CN" w:bidi="zh-CN"/>
              </w:rPr>
              <w:t>4.得分保留两位小数，第三位四舍五入。</w:t>
            </w:r>
          </w:p>
        </w:tc>
      </w:tr>
      <w:tr w14:paraId="1B4B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restart"/>
            <w:vAlign w:val="center"/>
          </w:tcPr>
          <w:p w14:paraId="20DC031E">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商务部分</w:t>
            </w:r>
          </w:p>
          <w:p w14:paraId="0FFBB74E">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（30分）</w:t>
            </w:r>
          </w:p>
        </w:tc>
        <w:tc>
          <w:tcPr>
            <w:tcW w:w="1039" w:type="dxa"/>
            <w:shd w:val="clear" w:color="auto" w:fill="auto"/>
            <w:vAlign w:val="center"/>
          </w:tcPr>
          <w:p w14:paraId="79A30D2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企业业 绩</w:t>
            </w:r>
          </w:p>
        </w:tc>
        <w:tc>
          <w:tcPr>
            <w:tcW w:w="1100" w:type="dxa"/>
            <w:vAlign w:val="center"/>
          </w:tcPr>
          <w:p w14:paraId="4BE5163A">
            <w:pPr>
              <w:pStyle w:val="6"/>
              <w:ind w:left="0" w:leftChars="0" w:firstLine="0" w:firstLineChars="0"/>
              <w:jc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15</w:t>
            </w:r>
          </w:p>
        </w:tc>
        <w:tc>
          <w:tcPr>
            <w:tcW w:w="5533" w:type="dxa"/>
            <w:vAlign w:val="center"/>
          </w:tcPr>
          <w:p w14:paraId="0598268F">
            <w:pPr>
              <w:pStyle w:val="16"/>
              <w:keepNext w:val="0"/>
              <w:keepLines w:val="0"/>
              <w:pageBreakBefore w:val="0"/>
              <w:widowControl w:val="0"/>
              <w:kinsoku/>
              <w:wordWrap/>
              <w:overflowPunct/>
              <w:topLinePunct w:val="0"/>
              <w:autoSpaceDE w:val="0"/>
              <w:autoSpaceDN w:val="0"/>
              <w:bidi w:val="0"/>
              <w:adjustRightInd/>
              <w:snapToGrid w:val="0"/>
              <w:spacing w:line="400" w:lineRule="exact"/>
              <w:ind w:left="0" w:firstLine="0"/>
              <w:jc w:val="both"/>
              <w:textAlignment w:val="baseline"/>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投标人近五年（2021年8月至今）完成过1 项合同金额80万元及以上文保建筑修缮或文保建筑日常维护保养施工业绩。须提供中标通知书、合同协议书和竣工验收证明材料（承担过的工程项目时间以有效证明的落款时间为准）。每提供一项的得5分，最多15分 。</w:t>
            </w:r>
          </w:p>
        </w:tc>
      </w:tr>
      <w:tr w14:paraId="288C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continue"/>
            <w:vAlign w:val="center"/>
          </w:tcPr>
          <w:p w14:paraId="1FF28967">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415FD296">
            <w:pPr>
              <w:pStyle w:val="6"/>
              <w:ind w:left="0" w:leftChars="0" w:firstLine="0" w:firstLineChars="0"/>
              <w:jc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技术负责人</w:t>
            </w:r>
          </w:p>
        </w:tc>
        <w:tc>
          <w:tcPr>
            <w:tcW w:w="1100" w:type="dxa"/>
            <w:vAlign w:val="center"/>
          </w:tcPr>
          <w:p w14:paraId="00D0751F">
            <w:pPr>
              <w:pStyle w:val="6"/>
              <w:ind w:left="0" w:leftChars="0" w:firstLine="0" w:firstLineChars="0"/>
              <w:jc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10</w:t>
            </w:r>
          </w:p>
        </w:tc>
        <w:tc>
          <w:tcPr>
            <w:tcW w:w="5533" w:type="dxa"/>
            <w:vAlign w:val="center"/>
          </w:tcPr>
          <w:p w14:paraId="4DB94A9B">
            <w:pPr>
              <w:keepNext w:val="0"/>
              <w:keepLines w:val="0"/>
              <w:pageBreakBefore w:val="0"/>
              <w:widowControl/>
              <w:numPr>
                <w:ilvl w:val="0"/>
                <w:numId w:val="2"/>
              </w:numPr>
              <w:kinsoku/>
              <w:wordWrap/>
              <w:overflowPunct/>
              <w:topLinePunct w:val="0"/>
              <w:autoSpaceDE/>
              <w:autoSpaceDN/>
              <w:bidi w:val="0"/>
              <w:adjustRightInd/>
              <w:snapToGrid/>
              <w:spacing w:line="400" w:lineRule="exact"/>
              <w:textAlignment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具有文物保护从业资格证得2分，具有二级及以上建造师证的得2分；提供相关职称证明材料，未提供不得分；</w:t>
            </w:r>
          </w:p>
          <w:p w14:paraId="5FE407E9">
            <w:pPr>
              <w:pStyle w:val="2"/>
              <w:keepNext w:val="0"/>
              <w:keepLines w:val="0"/>
              <w:pageBreakBefore w:val="0"/>
              <w:kinsoku/>
              <w:wordWrap/>
              <w:overflowPunct/>
              <w:topLinePunct w:val="0"/>
              <w:autoSpaceDE/>
              <w:autoSpaceDN/>
              <w:bidi w:val="0"/>
              <w:adjustRightInd/>
              <w:snapToGrid/>
              <w:spacing w:line="400" w:lineRule="exact"/>
              <w:ind w:left="0" w:leftChars="0" w:firstLine="0" w:firstLineChars="0"/>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2.近3 年(2023年8月至投标截止日)承担过1项文保建筑修缮或文保建筑日常维护保养施工业绩的，每增一个业绩加3分，本项最多得6分。需提供技术负责人在本单位近六个月缴纳社保证明，否则不得分。</w:t>
            </w:r>
          </w:p>
        </w:tc>
      </w:tr>
      <w:tr w14:paraId="5567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continue"/>
            <w:vAlign w:val="center"/>
          </w:tcPr>
          <w:p w14:paraId="46C7BF8B">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0A811A78">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团队人员</w:t>
            </w:r>
          </w:p>
        </w:tc>
        <w:tc>
          <w:tcPr>
            <w:tcW w:w="1100" w:type="dxa"/>
            <w:vAlign w:val="center"/>
          </w:tcPr>
          <w:p w14:paraId="69EA7748">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vAlign w:val="center"/>
          </w:tcPr>
          <w:p w14:paraId="75C01C6C">
            <w:pPr>
              <w:keepNext w:val="0"/>
              <w:keepLines w:val="0"/>
              <w:pageBreakBefore w:val="0"/>
              <w:widowControl/>
              <w:kinsoku/>
              <w:wordWrap/>
              <w:overflowPunct/>
              <w:topLinePunct w:val="0"/>
              <w:autoSpaceDE/>
              <w:autoSpaceDN/>
              <w:bidi w:val="0"/>
              <w:adjustRightInd/>
              <w:snapToGrid/>
              <w:spacing w:line="400" w:lineRule="exact"/>
              <w:textAlignment w:val="center"/>
              <w:rPr>
                <w:rFonts w:hint="eastAsia" w:ascii="宋体" w:hAnsi="宋体" w:cs="宋体"/>
                <w:color w:val="auto"/>
                <w:kern w:val="0"/>
                <w:szCs w:val="21"/>
                <w:highlight w:val="none"/>
                <w:lang w:bidi="ar"/>
              </w:rPr>
            </w:pPr>
            <w:r>
              <w:rPr>
                <w:rFonts w:hint="eastAsia" w:ascii="仿宋_GB2312" w:hAnsi="仿宋_GB2312" w:eastAsia="仿宋_GB2312" w:cs="仿宋_GB2312"/>
                <w:color w:val="auto"/>
                <w:kern w:val="2"/>
                <w:sz w:val="28"/>
                <w:szCs w:val="28"/>
                <w:highlight w:val="none"/>
                <w:u w:val="none"/>
                <w:lang w:val="en-US" w:eastAsia="zh-CN" w:bidi="zh-CN"/>
              </w:rPr>
              <w:t>团队成员中有施工员、质量员、材料员、资料员和安全员，每个得1分，最多得5分，不具备的不得分。（投标人提供相关人员的资格证书）</w:t>
            </w:r>
          </w:p>
          <w:p w14:paraId="7D5C57F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以上人员需提供在本公司近6个月社保证明材料</w:t>
            </w:r>
          </w:p>
        </w:tc>
      </w:tr>
      <w:tr w14:paraId="3190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restart"/>
            <w:shd w:val="clear" w:color="auto" w:fill="auto"/>
            <w:vAlign w:val="center"/>
          </w:tcPr>
          <w:p w14:paraId="009523A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技术部分</w:t>
            </w:r>
          </w:p>
          <w:p w14:paraId="0CDFE01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（40分）</w:t>
            </w:r>
          </w:p>
          <w:p w14:paraId="6311100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77D7EC0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工程概况</w:t>
            </w:r>
          </w:p>
        </w:tc>
        <w:tc>
          <w:tcPr>
            <w:tcW w:w="1100" w:type="dxa"/>
            <w:shd w:val="clear" w:color="auto" w:fill="auto"/>
            <w:vAlign w:val="center"/>
          </w:tcPr>
          <w:p w14:paraId="15B806D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shd w:val="clear" w:color="auto" w:fill="auto"/>
            <w:vAlign w:val="center"/>
          </w:tcPr>
          <w:p w14:paraId="147B416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 xml:space="preserve">结合本工程的特点描述准确、清晰的得4-5分；描述基本准确、清晰的得3-4 分；描述不准确的不得分。 </w:t>
            </w:r>
          </w:p>
        </w:tc>
      </w:tr>
      <w:tr w14:paraId="7A25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3FC8CA1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211D132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工程方案</w:t>
            </w:r>
          </w:p>
        </w:tc>
        <w:tc>
          <w:tcPr>
            <w:tcW w:w="1100" w:type="dxa"/>
            <w:shd w:val="clear" w:color="auto" w:fill="auto"/>
            <w:vAlign w:val="center"/>
          </w:tcPr>
          <w:p w14:paraId="5357988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10</w:t>
            </w:r>
          </w:p>
        </w:tc>
        <w:tc>
          <w:tcPr>
            <w:tcW w:w="5533" w:type="dxa"/>
            <w:shd w:val="clear" w:color="auto" w:fill="auto"/>
            <w:vAlign w:val="center"/>
          </w:tcPr>
          <w:p w14:paraId="763EC0E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基于现有方案设计，提供合理、先进的实施方案，施工设备及人员配合，计划科学、合理、针对性强的得8-10分；合理、可行的得6-8分；不合理、不可行的不得分。</w:t>
            </w:r>
          </w:p>
        </w:tc>
      </w:tr>
      <w:tr w14:paraId="5087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4C9E9AA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3409894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施工进度计划</w:t>
            </w:r>
          </w:p>
        </w:tc>
        <w:tc>
          <w:tcPr>
            <w:tcW w:w="1100" w:type="dxa"/>
            <w:shd w:val="clear" w:color="auto" w:fill="auto"/>
            <w:vAlign w:val="center"/>
          </w:tcPr>
          <w:p w14:paraId="3EF1C4B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shd w:val="clear" w:color="auto" w:fill="auto"/>
            <w:vAlign w:val="center"/>
          </w:tcPr>
          <w:p w14:paraId="0549BEF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安排的进度计划、工期安排有针对性、合理、可行4-5分；基本可行3-4分，不可行不得分。</w:t>
            </w:r>
          </w:p>
        </w:tc>
      </w:tr>
      <w:tr w14:paraId="6007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434372F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3E15A30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质量保障措施</w:t>
            </w:r>
          </w:p>
        </w:tc>
        <w:tc>
          <w:tcPr>
            <w:tcW w:w="1100" w:type="dxa"/>
            <w:shd w:val="clear" w:color="auto" w:fill="auto"/>
            <w:vAlign w:val="center"/>
          </w:tcPr>
          <w:p w14:paraId="14C65F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shd w:val="clear" w:color="auto" w:fill="auto"/>
            <w:vAlign w:val="center"/>
          </w:tcPr>
          <w:p w14:paraId="6885B1F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 xml:space="preserve">质量保证体系完整，措施且具针对性和可行性，确保工程质量的技术组织措施，使用的新技术、新工艺须有简要描述说明，措施优，针对性强的得4-5分；基本可行的得3-4分；不合理、不可行的不得分。 </w:t>
            </w:r>
          </w:p>
        </w:tc>
      </w:tr>
      <w:tr w14:paraId="26F3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1E4F323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6BA8DA9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施工准备、现场平面布置</w:t>
            </w:r>
          </w:p>
          <w:p w14:paraId="69D25FF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100" w:type="dxa"/>
            <w:shd w:val="clear" w:color="auto" w:fill="auto"/>
            <w:vAlign w:val="center"/>
          </w:tcPr>
          <w:p w14:paraId="36FABC1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8</w:t>
            </w:r>
          </w:p>
        </w:tc>
        <w:tc>
          <w:tcPr>
            <w:tcW w:w="5533" w:type="dxa"/>
            <w:shd w:val="clear" w:color="auto" w:fill="auto"/>
            <w:vAlign w:val="center"/>
          </w:tcPr>
          <w:p w14:paraId="2C94303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施工程序、准备符合施工规程规范及施工现场条件的要求，施工现场布置切合实际且合理，科学、细致、针对性强的得6-8分；基本合理、可行的得3-5分；不合理、不可行的不得分。 </w:t>
            </w:r>
          </w:p>
        </w:tc>
      </w:tr>
      <w:tr w14:paraId="574C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7" w:hRule="atLeast"/>
          <w:jc w:val="center"/>
        </w:trPr>
        <w:tc>
          <w:tcPr>
            <w:tcW w:w="1556" w:type="dxa"/>
            <w:vMerge w:val="continue"/>
            <w:shd w:val="clear" w:color="auto" w:fill="auto"/>
            <w:vAlign w:val="center"/>
          </w:tcPr>
          <w:p w14:paraId="72DBB8D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5660B0F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确保安全生产与文明施工的</w:t>
            </w:r>
          </w:p>
          <w:p w14:paraId="5671131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技术组织措施</w:t>
            </w:r>
          </w:p>
          <w:p w14:paraId="1999595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100" w:type="dxa"/>
            <w:shd w:val="clear" w:color="auto" w:fill="auto"/>
            <w:vAlign w:val="center"/>
          </w:tcPr>
          <w:p w14:paraId="5EA673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7</w:t>
            </w:r>
          </w:p>
        </w:tc>
        <w:tc>
          <w:tcPr>
            <w:tcW w:w="5533" w:type="dxa"/>
            <w:shd w:val="clear" w:color="auto" w:fill="auto"/>
            <w:vAlign w:val="center"/>
          </w:tcPr>
          <w:p w14:paraId="6859FFC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 xml:space="preserve">针对本项目的文明施工体系完整，有针对性和可行性，特别是施工期间的劳动安全、消防措施等。提供现场标识牌、围栏防护样式，计划详细组织措施描述清晰、详尽，管理措施具有可行性、可操作性的得5-7分；有组织措施且描述基本清晰的得2-4 分；组织措施描述不清晰，有明显缺陷的不得分。 </w:t>
            </w:r>
          </w:p>
        </w:tc>
      </w:tr>
    </w:tbl>
    <w:p w14:paraId="50B180A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三、计分办法</w:t>
      </w:r>
    </w:p>
    <w:p w14:paraId="42FA4958">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（一）评标委员会按照招标文件的要求给投标人打分，并按下列公式确定各投标人的评定分数：</w:t>
      </w:r>
    </w:p>
    <w:p w14:paraId="717BF81C">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评定分数=报价部分得分+商务部分得分+技术部分得分</w:t>
      </w:r>
    </w:p>
    <w:p w14:paraId="778F0E5B">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（二）各投标人的最终得分为各评委所评定分数的算术平均值。</w:t>
      </w:r>
    </w:p>
    <w:p w14:paraId="1B074291">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（三）各项统计、评分结果均按四舍五入方法精确到小数点后两位。</w:t>
      </w:r>
    </w:p>
    <w:p w14:paraId="7B3100D6">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（四）评标委员会根据投标人的最终得分，按高低次序确定投标人最终的排列名次，并按照招标文件中规定，推荐不超过三名有排序的合格的中标候选人。</w:t>
      </w:r>
    </w:p>
    <w:p w14:paraId="7D20F993">
      <w:pPr>
        <w:rPr>
          <w:rFonts w:hint="default" w:ascii="仿宋_GB2312" w:hAnsi="仿宋_GB2312" w:eastAsia="仿宋_GB2312" w:cs="仿宋_GB2312"/>
          <w:kern w:val="2"/>
          <w:sz w:val="32"/>
          <w:szCs w:val="32"/>
          <w:lang w:val="en-US" w:eastAsia="zh-CN" w:bidi="ar-SA"/>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A149028-8536-4AC2-B030-36270EACAE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2" w:fontKey="{8EDA3C7C-2C16-4FB1-904D-9C07F7D105EE}"/>
  </w:font>
  <w:font w:name="仿宋_GB2312">
    <w:panose1 w:val="02010609030101010101"/>
    <w:charset w:val="86"/>
    <w:family w:val="auto"/>
    <w:pitch w:val="default"/>
    <w:sig w:usb0="00000001" w:usb1="080E0000" w:usb2="00000000" w:usb3="00000000" w:csb0="00040000" w:csb1="00000000"/>
    <w:embedRegular r:id="rId3" w:fontKey="{C1DC0E86-5473-479C-B153-AF4D4F68A8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ED2B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772DD">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24</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DA772DD">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24</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4F0310"/>
    <w:multiLevelType w:val="singleLevel"/>
    <w:tmpl w:val="954F0310"/>
    <w:lvl w:ilvl="0" w:tentative="0">
      <w:start w:val="2"/>
      <w:numFmt w:val="decimal"/>
      <w:suff w:val="nothing"/>
      <w:lvlText w:val="（%1）"/>
      <w:lvlJc w:val="left"/>
    </w:lvl>
  </w:abstractNum>
  <w:abstractNum w:abstractNumId="1">
    <w:nsid w:val="31EF7B82"/>
    <w:multiLevelType w:val="singleLevel"/>
    <w:tmpl w:val="31EF7B82"/>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47DE1"/>
    <w:rsid w:val="022A40AE"/>
    <w:rsid w:val="034A3564"/>
    <w:rsid w:val="03A569EC"/>
    <w:rsid w:val="04084468"/>
    <w:rsid w:val="08CE609D"/>
    <w:rsid w:val="097E5D15"/>
    <w:rsid w:val="0B146D07"/>
    <w:rsid w:val="0C71568D"/>
    <w:rsid w:val="0E774ADB"/>
    <w:rsid w:val="1173012A"/>
    <w:rsid w:val="11782338"/>
    <w:rsid w:val="131E7C21"/>
    <w:rsid w:val="132C67E2"/>
    <w:rsid w:val="13593913"/>
    <w:rsid w:val="13C8206C"/>
    <w:rsid w:val="14027543"/>
    <w:rsid w:val="146124BC"/>
    <w:rsid w:val="15AB1E1B"/>
    <w:rsid w:val="18E2360B"/>
    <w:rsid w:val="1AE7004D"/>
    <w:rsid w:val="1BB06489"/>
    <w:rsid w:val="1C713EA3"/>
    <w:rsid w:val="1E287502"/>
    <w:rsid w:val="20566C4C"/>
    <w:rsid w:val="22963C78"/>
    <w:rsid w:val="25473DAA"/>
    <w:rsid w:val="26431A21"/>
    <w:rsid w:val="26CA2142"/>
    <w:rsid w:val="270F7B55"/>
    <w:rsid w:val="289F7541"/>
    <w:rsid w:val="29C15A7E"/>
    <w:rsid w:val="2AC60E73"/>
    <w:rsid w:val="2B5E554F"/>
    <w:rsid w:val="2B764647"/>
    <w:rsid w:val="2D6A01DB"/>
    <w:rsid w:val="2F8A246F"/>
    <w:rsid w:val="32CF22E4"/>
    <w:rsid w:val="348C4FB3"/>
    <w:rsid w:val="37477C0E"/>
    <w:rsid w:val="37AE7266"/>
    <w:rsid w:val="3825542A"/>
    <w:rsid w:val="386D6B44"/>
    <w:rsid w:val="38A26A7B"/>
    <w:rsid w:val="39111E53"/>
    <w:rsid w:val="39930ABA"/>
    <w:rsid w:val="3A145757"/>
    <w:rsid w:val="3A4E43A5"/>
    <w:rsid w:val="3BFA6BCE"/>
    <w:rsid w:val="3CDB255C"/>
    <w:rsid w:val="3DC56D68"/>
    <w:rsid w:val="3DD07904"/>
    <w:rsid w:val="3E8C4B3D"/>
    <w:rsid w:val="404843AC"/>
    <w:rsid w:val="40AB0497"/>
    <w:rsid w:val="410F4593"/>
    <w:rsid w:val="426B4382"/>
    <w:rsid w:val="428F2D4C"/>
    <w:rsid w:val="42EA174A"/>
    <w:rsid w:val="443F5AC6"/>
    <w:rsid w:val="45805B9C"/>
    <w:rsid w:val="46737CA9"/>
    <w:rsid w:val="46CB37AF"/>
    <w:rsid w:val="47C03E43"/>
    <w:rsid w:val="48F21359"/>
    <w:rsid w:val="49942410"/>
    <w:rsid w:val="4A741032"/>
    <w:rsid w:val="4CAF130F"/>
    <w:rsid w:val="4DA63329"/>
    <w:rsid w:val="4F370019"/>
    <w:rsid w:val="4F744081"/>
    <w:rsid w:val="514C1822"/>
    <w:rsid w:val="52911BE2"/>
    <w:rsid w:val="55F85AD5"/>
    <w:rsid w:val="563E2BBB"/>
    <w:rsid w:val="593C03CE"/>
    <w:rsid w:val="5CAC13C7"/>
    <w:rsid w:val="5CFD1C22"/>
    <w:rsid w:val="5DDC3F2E"/>
    <w:rsid w:val="5EA24461"/>
    <w:rsid w:val="636522D0"/>
    <w:rsid w:val="637746A9"/>
    <w:rsid w:val="69847953"/>
    <w:rsid w:val="6A927EEE"/>
    <w:rsid w:val="6BA52AB2"/>
    <w:rsid w:val="6CCB7647"/>
    <w:rsid w:val="6E5A56CA"/>
    <w:rsid w:val="6FD74384"/>
    <w:rsid w:val="71946BA2"/>
    <w:rsid w:val="75184ADE"/>
    <w:rsid w:val="760A49B4"/>
    <w:rsid w:val="7687144B"/>
    <w:rsid w:val="77324E93"/>
    <w:rsid w:val="777D1E86"/>
    <w:rsid w:val="77ED700C"/>
    <w:rsid w:val="7814538E"/>
    <w:rsid w:val="78746DE5"/>
    <w:rsid w:val="7B165320"/>
    <w:rsid w:val="7CCF74CC"/>
    <w:rsid w:val="7F0E5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1"/>
    <w:pPr>
      <w:spacing w:line="542" w:lineRule="exact"/>
      <w:ind w:right="34"/>
      <w:jc w:val="center"/>
      <w:outlineLvl w:val="0"/>
    </w:pPr>
    <w:rPr>
      <w:rFonts w:ascii="微软雅黑" w:hAnsi="微软雅黑" w:eastAsia="微软雅黑" w:cs="微软雅黑"/>
      <w:b/>
      <w:bCs/>
      <w:sz w:val="32"/>
      <w:szCs w:val="32"/>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ind w:firstLine="420" w:firstLineChars="100"/>
    </w:pPr>
  </w:style>
  <w:style w:type="paragraph" w:styleId="3">
    <w:name w:val="Body Text"/>
    <w:basedOn w:val="1"/>
    <w:qFormat/>
    <w:uiPriority w:val="1"/>
    <w:rPr>
      <w:sz w:val="21"/>
      <w:szCs w:val="21"/>
    </w:rPr>
  </w:style>
  <w:style w:type="paragraph" w:styleId="6">
    <w:name w:val="Normal Indent"/>
    <w:basedOn w:val="1"/>
    <w:qFormat/>
    <w:uiPriority w:val="0"/>
    <w:pPr>
      <w:ind w:firstLine="420" w:firstLineChars="200"/>
    </w:pPr>
    <w:rPr>
      <w:rFonts w:ascii="Calibri" w:hAnsi="Calibri"/>
      <w:sz w:val="21"/>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spacing w:after="120" w:line="480" w:lineRule="auto"/>
    </w:pPr>
  </w:style>
  <w:style w:type="paragraph" w:styleId="10">
    <w:name w:val="Normal (Web)"/>
    <w:basedOn w:val="1"/>
    <w:qFormat/>
    <w:uiPriority w:val="0"/>
    <w:pPr>
      <w:spacing w:before="60" w:after="60"/>
    </w:pPr>
    <w:rPr>
      <w:rFonts w:cs="Times New Roman"/>
      <w:sz w:val="24"/>
      <w:lang w:val="en-US" w:bidi="ar-SA"/>
    </w:rPr>
  </w:style>
  <w:style w:type="character" w:styleId="13">
    <w:name w:val="Strong"/>
    <w:basedOn w:val="12"/>
    <w:qFormat/>
    <w:uiPriority w:val="0"/>
    <w:rPr>
      <w:b/>
    </w:rPr>
  </w:style>
  <w:style w:type="character" w:styleId="14">
    <w:name w:val="page number"/>
    <w:qFormat/>
    <w:uiPriority w:val="99"/>
  </w:style>
  <w:style w:type="paragraph" w:customStyle="1" w:styleId="15">
    <w:name w:val="Table Paragraph"/>
    <w:basedOn w:val="1"/>
    <w:qFormat/>
    <w:uiPriority w:val="1"/>
  </w:style>
  <w:style w:type="paragraph" w:styleId="16">
    <w:name w:val="List Paragraph"/>
    <w:basedOn w:val="1"/>
    <w:qFormat/>
    <w:uiPriority w:val="1"/>
    <w:pPr>
      <w:ind w:left="579" w:firstLine="420"/>
    </w:pPr>
  </w:style>
  <w:style w:type="paragraph" w:customStyle="1" w:styleId="17">
    <w:name w:val="列出段落1"/>
    <w:basedOn w:val="1"/>
    <w:qFormat/>
    <w:uiPriority w:val="0"/>
    <w:pPr>
      <w:ind w:firstLine="420" w:firstLineChars="200"/>
    </w:pPr>
  </w:style>
  <w:style w:type="paragraph" w:customStyle="1" w:styleId="18">
    <w:name w:val="First Paragraph"/>
    <w:basedOn w:val="3"/>
    <w:next w:val="3"/>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8c979b7e-3747-4283-82cb-56d5859962db</errorID>
      <errorWord>菜金</errorWord>
      <group>L1_Word</group>
      <groupName>字词问题</groupName>
      <ability>L2_Typo</ability>
      <abilityName>字词错误</abilityName>
      <candidateList>
        <item>租金</item>
      </candidateList>
      <explain/>
      <paraID>7F3423FC</paraID>
      <start>28</start>
      <end>30</end>
      <status>ignored</status>
      <modifiedWord/>
      <trackRevisions>false</trackRevisions>
    </reviewItem>
    <reviewItem>
      <errorID>fbd157fd-a871-460b-9ea0-e6419a9900a6</errorID>
      <errorWord>）以来</errorWord>
      <group>L1_Grammar</group>
      <groupName>语法问题</groupName>
      <ability>L2_Grammar</ability>
      <abilityName>语法错误</abilityName>
      <candidateList>
        <item>）</item>
      </candidateList>
      <explain/>
      <paraID>7BBA05CE</paraID>
      <start>22</start>
      <end>23</end>
      <status>modified</status>
      <modifiedWord>）</modifiedWord>
      <trackRevisions>false</trackRevisions>
    </reviewItem>
    <reviewItem>
      <errorID>230b50c3-9f7d-4390-bf71-3a7a7784477d</errorID>
      <errorWord>发送到</errorWord>
      <group>L1_Word</group>
      <groupName>字词问题</groupName>
      <ability>L2_Typo</ability>
      <abilityName>字词错误</abilityName>
      <candidateList>
        <item>发送至</item>
      </candidateList>
      <explain>存在字形相近字词的误用。</explain>
      <paraID>3426ADC2</paraID>
      <start>125</start>
      <end>128</end>
      <status>modified</status>
      <modifiedWord>发送至</modifiedWord>
      <trackRevisions>false</trackRevisions>
    </reviewItem>
    <reviewItem>
      <errorID>8b129516-6387-459d-8675-25c5493ed343</errorID>
      <errorWord>挂网</errorWord>
      <group>L1_Word</group>
      <groupName>字词问题</groupName>
      <ability>L2_Typo</ability>
      <abilityName>字词错误</abilityName>
      <candidateList>
        <item>自挂网</item>
      </candidateList>
      <explain/>
      <paraID>5D156FD6</paraID>
      <start>43</start>
      <end>46</end>
      <status>modified</status>
      <modifiedWord>自挂网</modifiedWord>
      <trackRevisions>false</trackRevisions>
    </reviewItem>
    <reviewItem>
      <errorID>52aa8ef2-03aa-4887-aad4-c728ca525f60</errorID>
      <errorWord>时间为止</errorWord>
      <group>L1_Grammar</group>
      <groupName>语法问题</groupName>
      <ability>L2_Grammar</ability>
      <abilityName>语法错误</abilityName>
      <candidateList>
        <item>时间</item>
      </candidateList>
      <explain/>
      <paraID>5D156FD6</paraID>
      <start>54</start>
      <end>56</end>
      <status>modified</status>
      <modifiedWord>时间</modifiedWord>
      <trackRevisions>false</trackRevisions>
    </reviewItem>
    <reviewItem>
      <errorID>9f6ea97d-a595-499b-945b-b4c32a409646</errorID>
      <errorWord>没</errorWord>
      <group>L1_Word</group>
      <groupName>字词问题</groupName>
      <ability>L2_Typo</ability>
      <abilityName>字词错误</abilityName>
      <candidateList>
        <item>没有</item>
      </candidateList>
      <explain/>
      <paraID>24A4AAC7</paraID>
      <start>94</start>
      <end>95</end>
      <status>ignored</status>
      <modifiedWord/>
      <trackRevisions>false</trackRevisions>
    </reviewItem>
    <reviewItem>
      <errorID>70e1067c-321d-40cb-b23d-ec77675f5684</errorID>
      <errorWord>认为</errorWord>
      <group>L1_Grammar</group>
      <groupName>语法问题</groupName>
      <ability>L2_Grammar</ability>
      <abilityName>语法错误</abilityName>
      <candidateList>
        <item>被认定为</item>
      </candidateList>
      <explain/>
      <paraID>24A4AAC7</paraID>
      <start>115</start>
      <end>119</end>
      <status>modified</status>
      <modifiedWord>被认定为</modifiedWord>
      <trackRevisions>false</trackRevisions>
    </reviewItem>
    <reviewItem>
      <errorID>736ffee2-4522-4d71-9344-43a7c08940fd</errorID>
      <errorWord>投标</errorWord>
      <group>L1_Punc</group>
      <groupName>标点问题</groupName>
      <ability>L2_Punc_CN</ability>
      <abilityName>标点符号问题</abilityName>
      <candidateList>
        <item>：投标</item>
      </candidateList>
      <explain/>
      <paraID>4BA9C3C6</paraID>
      <start>12</start>
      <end>14</end>
      <status>ignored</status>
      <modifiedWord/>
      <trackRevisions>false</trackRevisions>
    </reviewItem>
    <reviewItem>
      <errorID>986a548f-b1e3-4799-bcbc-f0ec48e739aa</errorID>
      <errorWord>：</errorWord>
      <group>L1_Punc</group>
      <groupName>标点问题</groupName>
      <ability>L2_Punc_CN</ability>
      <abilityName>标点符号问题</abilityName>
      <candidateList>
        <item/>
      </candidateList>
      <explain/>
      <paraID>4BA9C3C6</paraID>
      <start>20</start>
      <end>21</end>
      <status>ignored</status>
      <modifiedWord/>
      <trackRevisions>false</trackRevisions>
    </reviewItem>
    <reviewItem>
      <errorID>748cadb0-248c-4e4a-8065-846a161cd518</errorID>
      <errorWord>完全清晰地</errorWord>
      <group>L1_Grammar</group>
      <groupName>语法问题</groupName>
      <ability>L2_Grammar</ability>
      <abilityName>语法错误</abilityName>
      <candidateList>
        <item>完全</item>
      </candidateList>
      <explain/>
      <paraID>21D1226C</paraID>
      <start>62</start>
      <end>67</end>
      <status>ignored</status>
      <modifiedWord/>
      <trackRevisions>false</trackRevisions>
    </reviewItem>
    <reviewItem>
      <errorID>88dfe83e-7d98-4668-b55e-db514af3d39e</errorID>
      <errorWord>中标通知书和本投标文件</errorWord>
      <group>L1_Word</group>
      <groupName>字词问题</groupName>
      <ability>L2_Typo</ability>
      <abilityName>字词错误</abilityName>
      <candidateList>
        <item>本投标文件和中标通知书</item>
      </candidateList>
      <explain/>
      <paraID>7E91C0AD</paraID>
      <start>10</start>
      <end>21</end>
      <status>ignored</status>
      <modifiedWord/>
      <trackRevisions>false</trackRevisions>
    </reviewItem>
    <reviewItem>
      <errorID>e98a99eb-2a82-4a97-a9b7-2ba706525b4d</errorID>
      <errorWord>均</errorWord>
      <group>L1_Punc</group>
      <groupName>标点问题</groupName>
      <ability>L2_Punc_CN</ability>
      <abilityName>标点符号问题</abilityName>
      <candidateList>
        <item>，均</item>
      </candidateList>
      <explain/>
      <paraID>5B8BAFCB</paraID>
      <start>30</start>
      <end>32</end>
      <status>modified</status>
      <modifiedWord>，均</modifiedWord>
      <trackRevisions>false</trackRevisions>
    </reviewItem>
    <reviewItem>
      <errorID>309d32c1-69e2-4e25-b33b-ce99505b8231</errorID>
      <errorWord>    为我方正式合法代理人，参加</errorWord>
      <group>L1_Word</group>
      <groupName>字词问题</groupName>
      <ability>L2_Typo</ability>
      <abilityName>字词错误</abilityName>
      <candidateList>
        <item>  为我方正式合法代理人，参加  </item>
      </candidateList>
      <explain/>
      <paraID> FA5E23D</paraID>
      <start>55</start>
      <end>72</end>
      <status>ignored</status>
      <modifiedWord/>
      <trackRevisions>false</trackRevisions>
    </reviewItem>
    <reviewItem>
      <errorID>0ca7fc35-68d1-4054-8ae9-7c51483f4ec8</errorID>
      <errorWord>，</errorWord>
      <group>L1_Word</group>
      <groupName>字词问题</groupName>
      <ability>L2_Typo</ability>
      <abilityName>字词错误</abilityName>
      <candidateList>
        <item>，并</item>
      </candidateList>
      <explain/>
      <paraID> 52CF268</paraID>
      <start>52</start>
      <end>54</end>
      <status>modified</status>
      <modifiedWord>，并</modifiedWord>
      <trackRevisions>false</trackRevisions>
    </reviewItem>
    <reviewItem>
      <errorID>502d2dfa-e7fd-4a92-9fe2-7446a567b918</errorID>
      <errorWord>:</errorWord>
      <group>L1_Format</group>
      <groupName>格式问题</groupName>
      <ability>L2_HalfPunc_CN</ability>
      <abilityName>全半角问题</abilityName>
      <candidateList>
        <item>：</item>
      </candidateList>
      <explain>文本全半角错误。</explain>
      <paraID>47DFF38A</paraID>
      <start>9</start>
      <end>10</end>
      <status>modified</status>
      <modifiedWord>：</modifiedWord>
      <trackRevisions>false</trackRevisions>
    </reviewItem>
    <reviewItem>
      <errorID>c5beebed-7fb4-4577-9f80-d4b3a2ac8129</errorID>
      <errorWord>:</errorWord>
      <group>L1_Format</group>
      <groupName>格式问题</groupName>
      <ability>L2_HalfPunc_CN</ability>
      <abilityName>全半角问题</abilityName>
      <candidateList>
        <item>：</item>
      </candidateList>
      <explain>文本全半角错误。</explain>
      <paraID>7A477835</paraID>
      <start>15</start>
      <end>16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50078-b357-43fb-8656-fe27e280f4b5}">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2633</Words>
  <Characters>2734</Characters>
  <Lines>0</Lines>
  <Paragraphs>0</Paragraphs>
  <TotalTime>24</TotalTime>
  <ScaleCrop>false</ScaleCrop>
  <LinksUpToDate>false</LinksUpToDate>
  <CharactersWithSpaces>2756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2026-07-31T00:43:00Z</dcterms:created>
  <dc:creator>Administrator</dc:creator>
  <cp:lastModifiedBy>L~文亭</cp:lastModifiedBy>
  <cp:lastPrinted>2026-08-27T02:27:00Z</cp:lastPrinted>
  <dcterms:modified xsi:type="dcterms:W3CDTF">2026-09-02T01:51:37Z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eyJoZGlkIjoiNTJjMjYwOGM1Y2JkNWNkMjg5NDU1Njc1MGJkYjA0ODciLCJ1c2VySWQiOiIxMjkyNjc4NTYxIn0=</vt:lpwstr>
  </property>
  <property fmtid="{D5CDD505-2E9C-101B-9397-08002B2CF9AE}" pid="4" name="ICV">
    <vt:lpwstr>A5525CBFE1CB4590B9C6D1C7FF39C1C9_13</vt:lpwstr>
  </property>
</Properties>
</file>