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12818E">
      <w:pPr>
        <w:pStyle w:val="3"/>
        <w:tabs>
          <w:tab w:val="left" w:pos="1286"/>
        </w:tabs>
        <w:snapToGrid w:val="0"/>
        <w:spacing w:before="21" w:line="240" w:lineRule="auto"/>
        <w:jc w:val="left"/>
        <w:textAlignment w:val="baseline"/>
        <w:rPr>
          <w:rFonts w:hint="default" w:ascii="黑体" w:hAnsi="黑体" w:eastAsia="黑体" w:cs="黑体"/>
          <w:b w:val="0"/>
          <w:bCs w:val="0"/>
          <w:color w:val="auto"/>
          <w:kern w:val="2"/>
          <w:sz w:val="28"/>
          <w:szCs w:val="28"/>
          <w:highlight w:val="none"/>
          <w:lang w:val="en-US" w:eastAsia="zh-CN" w:bidi="zh-CN"/>
        </w:rPr>
      </w:pPr>
      <w:bookmarkStart w:id="0" w:name="_Toc20081"/>
      <w:r>
        <w:rPr>
          <w:rFonts w:hint="eastAsia" w:ascii="黑体" w:hAnsi="黑体" w:eastAsia="黑体" w:cs="黑体"/>
          <w:b w:val="0"/>
          <w:bCs w:val="0"/>
          <w:color w:val="auto"/>
          <w:kern w:val="2"/>
          <w:sz w:val="28"/>
          <w:szCs w:val="28"/>
          <w:highlight w:val="none"/>
          <w:lang w:val="en-US" w:eastAsia="zh-CN" w:bidi="zh-CN"/>
        </w:rPr>
        <w:t>附件2</w:t>
      </w:r>
    </w:p>
    <w:p w14:paraId="541FBEE2">
      <w:pPr>
        <w:pStyle w:val="3"/>
        <w:tabs>
          <w:tab w:val="left" w:pos="1286"/>
        </w:tabs>
        <w:snapToGrid w:val="0"/>
        <w:spacing w:before="21" w:line="240" w:lineRule="auto"/>
        <w:textAlignment w:val="baseline"/>
        <w:rPr>
          <w:rFonts w:hint="eastAsia" w:ascii="方正小标宋简体" w:hAnsi="方正小标宋简体" w:eastAsia="方正小标宋简体" w:cs="方正小标宋简体"/>
          <w:b w:val="0"/>
          <w:bCs w:val="0"/>
          <w:color w:val="auto"/>
          <w:sz w:val="44"/>
          <w:szCs w:val="44"/>
          <w:highlight w:val="red"/>
          <w:lang w:val="en-US"/>
        </w:rPr>
      </w:pPr>
      <w:r>
        <w:rPr>
          <w:rFonts w:hint="eastAsia" w:ascii="方正小标宋简体" w:hAnsi="方正小标宋简体" w:eastAsia="方正小标宋简体" w:cs="方正小标宋简体"/>
          <w:b w:val="0"/>
          <w:bCs w:val="0"/>
          <w:color w:val="auto"/>
          <w:sz w:val="44"/>
          <w:szCs w:val="44"/>
          <w:highlight w:val="none"/>
        </w:rPr>
        <w:t>评标办法</w:t>
      </w:r>
      <w:bookmarkEnd w:id="0"/>
      <w:bookmarkStart w:id="1" w:name="_Toc11870"/>
    </w:p>
    <w:p w14:paraId="53C1E57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baseline"/>
        <w:rPr>
          <w:rFonts w:hint="eastAsia" w:ascii="黑体" w:hAnsi="黑体" w:eastAsia="黑体" w:cs="黑体"/>
          <w:b w:val="0"/>
          <w:bCs/>
          <w:color w:val="auto"/>
          <w:sz w:val="32"/>
          <w:szCs w:val="32"/>
          <w:highlight w:val="none"/>
          <w:lang w:val="en-US"/>
        </w:rPr>
      </w:pPr>
      <w:r>
        <w:rPr>
          <w:rFonts w:hint="eastAsia" w:ascii="黑体" w:hAnsi="黑体" w:eastAsia="黑体" w:cs="黑体"/>
          <w:b w:val="0"/>
          <w:bCs/>
          <w:color w:val="auto"/>
          <w:sz w:val="32"/>
          <w:szCs w:val="32"/>
          <w:highlight w:val="none"/>
          <w:lang w:val="en-US" w:eastAsia="zh-CN"/>
        </w:rPr>
        <w:t>一、</w:t>
      </w:r>
      <w:r>
        <w:rPr>
          <w:rFonts w:hint="eastAsia" w:ascii="黑体" w:hAnsi="黑体" w:eastAsia="黑体" w:cs="黑体"/>
          <w:b w:val="0"/>
          <w:bCs/>
          <w:color w:val="auto"/>
          <w:sz w:val="32"/>
          <w:szCs w:val="32"/>
          <w:highlight w:val="none"/>
          <w:lang w:val="en-US"/>
        </w:rPr>
        <w:t>资格评审标准</w:t>
      </w:r>
      <w:bookmarkEnd w:id="1"/>
    </w:p>
    <w:p w14:paraId="24A4AAC7">
      <w:pPr>
        <w:pStyle w:val="5"/>
        <w:keepNext w:val="0"/>
        <w:keepLines w:val="0"/>
        <w:pageBreakBefore w:val="0"/>
        <w:widowControl w:val="0"/>
        <w:kinsoku/>
        <w:wordWrap/>
        <w:overflowPunct/>
        <w:topLinePunct w:val="0"/>
        <w:autoSpaceDE/>
        <w:autoSpaceDN/>
        <w:bidi w:val="0"/>
        <w:adjustRightInd/>
        <w:snapToGrid w:val="0"/>
        <w:spacing w:line="560" w:lineRule="exact"/>
        <w:ind w:firstLine="608"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8"/>
          <w:sz w:val="32"/>
          <w:szCs w:val="32"/>
          <w:highlight w:val="none"/>
        </w:rPr>
        <w:t>本项目采取资格后审合格/不合格制</w:t>
      </w:r>
      <w:r>
        <w:rPr>
          <w:rFonts w:hint="eastAsia" w:ascii="仿宋_GB2312" w:hAnsi="仿宋_GB2312" w:eastAsia="仿宋_GB2312" w:cs="仿宋_GB2312"/>
          <w:color w:val="auto"/>
          <w:sz w:val="32"/>
          <w:szCs w:val="32"/>
          <w:highlight w:val="none"/>
        </w:rPr>
        <w:t>。投标人提供的全部资料必须准确详细，以便本项目评标委员会做到正确判断。资格后审将完全依据投标人提供的资料，或者按评委要求对所投标文件的澄清材料</w:t>
      </w:r>
      <w:r>
        <w:rPr>
          <w:rFonts w:hint="eastAsia" w:ascii="仿宋_GB2312" w:hAnsi="仿宋_GB2312" w:eastAsia="仿宋_GB2312" w:cs="仿宋_GB2312"/>
          <w:color w:val="auto"/>
          <w:sz w:val="32"/>
          <w:szCs w:val="32"/>
          <w:highlight w:val="none"/>
          <w:lang w:eastAsia="zh-CN"/>
        </w:rPr>
        <w:t>进行审查。</w:t>
      </w:r>
      <w:r>
        <w:rPr>
          <w:rFonts w:hint="eastAsia" w:ascii="仿宋_GB2312" w:hAnsi="仿宋_GB2312" w:eastAsia="仿宋_GB2312" w:cs="仿宋_GB2312"/>
          <w:color w:val="auto"/>
          <w:sz w:val="32"/>
          <w:szCs w:val="32"/>
          <w:highlight w:val="none"/>
        </w:rPr>
        <w:t>如果没按要求在投标文件中提供具体材料，如有一项</w:t>
      </w:r>
      <w:r>
        <w:rPr>
          <w:rFonts w:hint="eastAsia" w:ascii="仿宋_GB2312" w:hAnsi="仿宋_GB2312" w:eastAsia="仿宋_GB2312" w:cs="仿宋_GB2312"/>
          <w:color w:val="auto"/>
          <w:sz w:val="32"/>
          <w:szCs w:val="32"/>
          <w:highlight w:val="none"/>
          <w:lang w:eastAsia="zh-CN"/>
        </w:rPr>
        <w:t>被认定为</w:t>
      </w:r>
      <w:r>
        <w:rPr>
          <w:rFonts w:hint="eastAsia" w:ascii="仿宋_GB2312" w:hAnsi="仿宋_GB2312" w:eastAsia="仿宋_GB2312" w:cs="仿宋_GB2312"/>
          <w:color w:val="auto"/>
          <w:sz w:val="32"/>
          <w:szCs w:val="32"/>
          <w:highlight w:val="none"/>
        </w:rPr>
        <w:t>不合格，报评标委员会审定后，可直接判定投标人资格不合格，其投标文件不予评审。</w:t>
      </w:r>
    </w:p>
    <w:p w14:paraId="7367CADC">
      <w:pPr>
        <w:snapToGrid w:val="0"/>
        <w:spacing w:line="460" w:lineRule="exact"/>
        <w:ind w:firstLine="640" w:firstLineChars="200"/>
        <w:jc w:val="both"/>
        <w:textAlignment w:val="baseline"/>
        <w:rPr>
          <w:rFonts w:hint="eastAsia" w:ascii="仿宋_GB2312" w:hAnsi="仿宋_GB2312" w:eastAsia="仿宋_GB2312" w:cs="仿宋_GB2312"/>
          <w:b w:val="0"/>
          <w:bCs/>
          <w:color w:val="auto"/>
          <w:sz w:val="32"/>
          <w:szCs w:val="32"/>
          <w:highlight w:val="none"/>
        </w:rPr>
      </w:pPr>
      <w:r>
        <w:rPr>
          <w:rFonts w:hint="eastAsia" w:ascii="仿宋_GB2312" w:hAnsi="仿宋_GB2312" w:eastAsia="仿宋_GB2312" w:cs="仿宋_GB2312"/>
          <w:b w:val="0"/>
          <w:bCs/>
          <w:color w:val="auto"/>
          <w:sz w:val="32"/>
          <w:szCs w:val="32"/>
          <w:highlight w:val="none"/>
        </w:rPr>
        <w:t>资格后审合格条件标准</w:t>
      </w:r>
    </w:p>
    <w:tbl>
      <w:tblPr>
        <w:tblStyle w:val="11"/>
        <w:tblW w:w="93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20"/>
        <w:gridCol w:w="7340"/>
        <w:gridCol w:w="1140"/>
      </w:tblGrid>
      <w:tr w14:paraId="6B60D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7" w:hRule="atLeast"/>
          <w:jc w:val="center"/>
        </w:trPr>
        <w:tc>
          <w:tcPr>
            <w:tcW w:w="9300" w:type="dxa"/>
            <w:gridSpan w:val="3"/>
            <w:vAlign w:val="center"/>
          </w:tcPr>
          <w:p w14:paraId="0A6BC733">
            <w:pPr>
              <w:pStyle w:val="15"/>
              <w:snapToGrid w:val="0"/>
              <w:spacing w:line="460" w:lineRule="exact"/>
              <w:ind w:firstLine="562" w:firstLineChars="200"/>
              <w:jc w:val="both"/>
              <w:textAlignment w:val="baseline"/>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一、资格审查</w:t>
            </w:r>
          </w:p>
        </w:tc>
      </w:tr>
      <w:tr w14:paraId="55D3A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0" w:hRule="atLeast"/>
          <w:jc w:val="center"/>
        </w:trPr>
        <w:tc>
          <w:tcPr>
            <w:tcW w:w="820" w:type="dxa"/>
            <w:vAlign w:val="center"/>
          </w:tcPr>
          <w:p w14:paraId="03CF3651">
            <w:pPr>
              <w:pStyle w:val="15"/>
              <w:snapToGrid w:val="0"/>
              <w:spacing w:line="460" w:lineRule="exact"/>
              <w:jc w:val="center"/>
              <w:textAlignment w:val="baseline"/>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序号</w:t>
            </w:r>
          </w:p>
        </w:tc>
        <w:tc>
          <w:tcPr>
            <w:tcW w:w="7340" w:type="dxa"/>
            <w:vAlign w:val="center"/>
          </w:tcPr>
          <w:p w14:paraId="428E26C8">
            <w:pPr>
              <w:pStyle w:val="15"/>
              <w:snapToGrid w:val="0"/>
              <w:spacing w:line="460" w:lineRule="exact"/>
              <w:jc w:val="both"/>
              <w:textAlignment w:val="baseline"/>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招标文件要求</w:t>
            </w:r>
          </w:p>
        </w:tc>
        <w:tc>
          <w:tcPr>
            <w:tcW w:w="1140" w:type="dxa"/>
            <w:vAlign w:val="center"/>
          </w:tcPr>
          <w:p w14:paraId="515DBA3F">
            <w:pPr>
              <w:pStyle w:val="15"/>
              <w:snapToGrid w:val="0"/>
              <w:spacing w:line="460" w:lineRule="exact"/>
              <w:ind w:firstLine="281" w:firstLineChars="100"/>
              <w:jc w:val="both"/>
              <w:textAlignment w:val="baseline"/>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说明</w:t>
            </w:r>
          </w:p>
        </w:tc>
      </w:tr>
      <w:tr w14:paraId="39378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36" w:hRule="atLeast"/>
          <w:jc w:val="center"/>
        </w:trPr>
        <w:tc>
          <w:tcPr>
            <w:tcW w:w="820" w:type="dxa"/>
            <w:vAlign w:val="center"/>
          </w:tcPr>
          <w:p w14:paraId="231BEF6C">
            <w:pPr>
              <w:pStyle w:val="15"/>
              <w:snapToGrid w:val="0"/>
              <w:spacing w:line="460" w:lineRule="exact"/>
              <w:jc w:val="center"/>
              <w:textAlignment w:val="baseline"/>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w:t>
            </w:r>
          </w:p>
        </w:tc>
        <w:tc>
          <w:tcPr>
            <w:tcW w:w="7340" w:type="dxa"/>
          </w:tcPr>
          <w:p w14:paraId="2DE83043">
            <w:pPr>
              <w:pStyle w:val="16"/>
              <w:keepNext w:val="0"/>
              <w:keepLines w:val="0"/>
              <w:pageBreakBefore w:val="0"/>
              <w:widowControl w:val="0"/>
              <w:kinsoku/>
              <w:wordWrap/>
              <w:overflowPunct/>
              <w:topLinePunct w:val="0"/>
              <w:autoSpaceDE w:val="0"/>
              <w:autoSpaceDN w:val="0"/>
              <w:bidi w:val="0"/>
              <w:adjustRightInd/>
              <w:snapToGrid w:val="0"/>
              <w:spacing w:line="400" w:lineRule="exact"/>
              <w:ind w:left="0" w:firstLine="0"/>
              <w:jc w:val="both"/>
              <w:textAlignment w:val="baseline"/>
              <w:rPr>
                <w:rFonts w:hint="eastAsia" w:ascii="仿宋_GB2312" w:hAnsi="仿宋_GB2312" w:eastAsia="仿宋_GB2312" w:cs="仿宋_GB2312"/>
                <w:color w:val="auto"/>
                <w:sz w:val="28"/>
                <w:szCs w:val="28"/>
                <w:highlight w:val="none"/>
                <w:u w:val="none"/>
                <w:lang w:val="en-US" w:eastAsia="zh-CN" w:bidi="zh-CN"/>
              </w:rPr>
            </w:pPr>
            <w:r>
              <w:rPr>
                <w:rFonts w:hint="eastAsia" w:ascii="宋体" w:hAnsi="宋体" w:eastAsia="宋体" w:cs="宋体"/>
                <w:b/>
                <w:bCs/>
                <w:color w:val="auto"/>
                <w:sz w:val="28"/>
                <w:szCs w:val="28"/>
                <w:highlight w:val="none"/>
                <w:u w:val="none"/>
                <w:lang w:val="en-US" w:eastAsia="zh-CN" w:bidi="zh-CN"/>
              </w:rPr>
              <w:t>主体资质：</w:t>
            </w:r>
            <w:r>
              <w:rPr>
                <w:rFonts w:hint="eastAsia" w:ascii="仿宋_GB2312" w:hAnsi="仿宋_GB2312" w:eastAsia="仿宋_GB2312" w:cs="仿宋_GB2312"/>
                <w:color w:val="auto"/>
                <w:sz w:val="28"/>
                <w:szCs w:val="28"/>
                <w:highlight w:val="none"/>
                <w:u w:val="none"/>
                <w:lang w:val="en-US" w:eastAsia="zh-CN" w:bidi="zh-CN"/>
              </w:rPr>
              <w:t>投标人必须是在中华人民共和国境内注册，具有独立法人资格的合法企业，能独立承担民事责任，具备有效的营业执照，经营范围包含相关设计服务内容。具备工程设计建筑专业乙级及以上资质。</w:t>
            </w:r>
          </w:p>
          <w:p w14:paraId="2E1280D0">
            <w:pPr>
              <w:pStyle w:val="16"/>
              <w:keepNext w:val="0"/>
              <w:keepLines w:val="0"/>
              <w:pageBreakBefore w:val="0"/>
              <w:widowControl w:val="0"/>
              <w:kinsoku/>
              <w:wordWrap/>
              <w:overflowPunct/>
              <w:topLinePunct w:val="0"/>
              <w:autoSpaceDE w:val="0"/>
              <w:autoSpaceDN w:val="0"/>
              <w:bidi w:val="0"/>
              <w:adjustRightInd/>
              <w:snapToGrid w:val="0"/>
              <w:spacing w:line="400" w:lineRule="exact"/>
              <w:ind w:left="0" w:firstLine="0"/>
              <w:jc w:val="both"/>
              <w:textAlignment w:val="baseline"/>
              <w:rPr>
                <w:rFonts w:hint="eastAsia" w:ascii="宋体" w:hAnsi="宋体" w:eastAsia="宋体" w:cs="宋体"/>
                <w:color w:val="auto"/>
                <w:sz w:val="28"/>
                <w:szCs w:val="28"/>
                <w:highlight w:val="none"/>
                <w:u w:val="none"/>
                <w:lang w:eastAsia="zh-CN"/>
              </w:rPr>
            </w:pPr>
          </w:p>
        </w:tc>
        <w:tc>
          <w:tcPr>
            <w:tcW w:w="1140" w:type="dxa"/>
            <w:vMerge w:val="restart"/>
            <w:vAlign w:val="center"/>
          </w:tcPr>
          <w:p w14:paraId="2B4BC41E">
            <w:pPr>
              <w:pStyle w:val="15"/>
              <w:keepNext w:val="0"/>
              <w:keepLines w:val="0"/>
              <w:pageBreakBefore w:val="0"/>
              <w:widowControl w:val="0"/>
              <w:kinsoku/>
              <w:wordWrap/>
              <w:overflowPunct/>
              <w:topLinePunct w:val="0"/>
              <w:autoSpaceDE w:val="0"/>
              <w:autoSpaceDN w:val="0"/>
              <w:bidi w:val="0"/>
              <w:adjustRightInd/>
              <w:snapToGrid w:val="0"/>
              <w:spacing w:line="400" w:lineRule="exact"/>
              <w:jc w:val="both"/>
              <w:textAlignment w:val="baseline"/>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u w:val="none"/>
                <w:lang w:val="en-US" w:eastAsia="zh-CN" w:bidi="zh-CN"/>
              </w:rPr>
              <w:t>提供扫描件，凡有一条不符合招标要求的，其投标文件将被否决。</w:t>
            </w:r>
          </w:p>
          <w:p w14:paraId="6E772717">
            <w:pPr>
              <w:pStyle w:val="15"/>
              <w:keepNext w:val="0"/>
              <w:keepLines w:val="0"/>
              <w:pageBreakBefore w:val="0"/>
              <w:widowControl w:val="0"/>
              <w:kinsoku/>
              <w:wordWrap/>
              <w:overflowPunct/>
              <w:topLinePunct w:val="0"/>
              <w:bidi w:val="0"/>
              <w:adjustRightInd/>
              <w:snapToGrid w:val="0"/>
              <w:spacing w:line="400" w:lineRule="exact"/>
              <w:ind w:firstLine="560" w:firstLineChars="200"/>
              <w:jc w:val="both"/>
              <w:textAlignment w:val="baseline"/>
              <w:rPr>
                <w:rFonts w:hint="eastAsia" w:ascii="宋体" w:hAnsi="宋体" w:eastAsia="宋体" w:cs="宋体"/>
                <w:color w:val="auto"/>
                <w:sz w:val="28"/>
                <w:szCs w:val="28"/>
                <w:highlight w:val="none"/>
              </w:rPr>
            </w:pPr>
          </w:p>
        </w:tc>
      </w:tr>
      <w:tr w14:paraId="66385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9" w:hRule="atLeast"/>
          <w:jc w:val="center"/>
        </w:trPr>
        <w:tc>
          <w:tcPr>
            <w:tcW w:w="820" w:type="dxa"/>
            <w:vAlign w:val="center"/>
          </w:tcPr>
          <w:p w14:paraId="0477970E">
            <w:pPr>
              <w:pStyle w:val="15"/>
              <w:snapToGrid w:val="0"/>
              <w:spacing w:line="460" w:lineRule="exact"/>
              <w:jc w:val="center"/>
              <w:textAlignment w:val="baseline"/>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w:t>
            </w:r>
          </w:p>
        </w:tc>
        <w:tc>
          <w:tcPr>
            <w:tcW w:w="7340" w:type="dxa"/>
          </w:tcPr>
          <w:p w14:paraId="2C6EB165">
            <w:pPr>
              <w:pStyle w:val="16"/>
              <w:keepNext w:val="0"/>
              <w:keepLines w:val="0"/>
              <w:pageBreakBefore w:val="0"/>
              <w:widowControl w:val="0"/>
              <w:kinsoku/>
              <w:wordWrap/>
              <w:overflowPunct/>
              <w:topLinePunct w:val="0"/>
              <w:autoSpaceDE w:val="0"/>
              <w:autoSpaceDN w:val="0"/>
              <w:bidi w:val="0"/>
              <w:adjustRightInd/>
              <w:snapToGrid w:val="0"/>
              <w:spacing w:line="400" w:lineRule="exact"/>
              <w:ind w:left="0" w:firstLine="0"/>
              <w:jc w:val="both"/>
              <w:textAlignment w:val="baseline"/>
              <w:rPr>
                <w:rFonts w:hint="eastAsia" w:ascii="宋体" w:hAnsi="宋体" w:eastAsia="宋体" w:cs="宋体"/>
                <w:b/>
                <w:bCs/>
                <w:color w:val="auto"/>
                <w:sz w:val="28"/>
                <w:szCs w:val="28"/>
                <w:highlight w:val="none"/>
                <w:u w:val="none"/>
                <w:lang w:val="en-US" w:eastAsia="zh-CN" w:bidi="zh-CN"/>
              </w:rPr>
            </w:pPr>
            <w:r>
              <w:rPr>
                <w:rFonts w:hint="eastAsia" w:ascii="宋体" w:hAnsi="宋体" w:eastAsia="宋体" w:cs="宋体"/>
                <w:b/>
                <w:bCs/>
                <w:color w:val="auto"/>
                <w:sz w:val="28"/>
                <w:szCs w:val="28"/>
                <w:highlight w:val="none"/>
                <w:u w:val="none"/>
                <w:lang w:val="en-US" w:eastAsia="zh-CN" w:bidi="zh-CN"/>
              </w:rPr>
              <w:t>企业业绩：</w:t>
            </w:r>
          </w:p>
          <w:p w14:paraId="18653FC2">
            <w:pPr>
              <w:pStyle w:val="16"/>
              <w:keepNext w:val="0"/>
              <w:keepLines w:val="0"/>
              <w:pageBreakBefore w:val="0"/>
              <w:widowControl w:val="0"/>
              <w:kinsoku/>
              <w:wordWrap/>
              <w:overflowPunct/>
              <w:topLinePunct w:val="0"/>
              <w:autoSpaceDE w:val="0"/>
              <w:autoSpaceDN w:val="0"/>
              <w:bidi w:val="0"/>
              <w:adjustRightInd/>
              <w:snapToGrid w:val="0"/>
              <w:spacing w:line="400" w:lineRule="exact"/>
              <w:ind w:left="0" w:firstLine="0"/>
              <w:jc w:val="both"/>
              <w:textAlignment w:val="baseline"/>
              <w:rPr>
                <w:rFonts w:hint="eastAsia" w:ascii="仿宋_GB2312" w:hAnsi="仿宋_GB2312" w:eastAsia="仿宋_GB2312" w:cs="仿宋_GB2312"/>
                <w:color w:val="auto"/>
                <w:sz w:val="28"/>
                <w:szCs w:val="28"/>
                <w:highlight w:val="none"/>
                <w:u w:val="none"/>
                <w:lang w:val="en-US" w:eastAsia="zh-CN" w:bidi="zh-CN"/>
              </w:rPr>
            </w:pPr>
            <w:r>
              <w:rPr>
                <w:rFonts w:hint="eastAsia" w:ascii="仿宋_GB2312" w:hAnsi="仿宋_GB2312" w:eastAsia="仿宋_GB2312" w:cs="仿宋_GB2312"/>
                <w:color w:val="auto"/>
                <w:sz w:val="28"/>
                <w:szCs w:val="28"/>
                <w:highlight w:val="none"/>
                <w:u w:val="none"/>
                <w:lang w:val="en-US" w:eastAsia="zh-CN" w:bidi="zh-CN"/>
              </w:rPr>
              <w:t>近3年(2023年8月1日至投标截止日)承担过总投资额在300万元及以上（或设计面积在2000m2及以上)类似项目的设计业绩1项。(须提供中标通知书或合同复印件)</w:t>
            </w:r>
          </w:p>
          <w:p w14:paraId="75E32EB1">
            <w:pPr>
              <w:pStyle w:val="16"/>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both"/>
              <w:textAlignment w:val="baseline"/>
              <w:rPr>
                <w:rFonts w:hint="eastAsia" w:ascii="仿宋_GB2312" w:hAnsi="仿宋_GB2312" w:eastAsia="仿宋_GB2312" w:cs="仿宋_GB2312"/>
                <w:color w:val="auto"/>
                <w:sz w:val="28"/>
                <w:szCs w:val="28"/>
                <w:highlight w:val="none"/>
                <w:u w:val="none"/>
                <w:lang w:val="en-US" w:eastAsia="zh-CN" w:bidi="zh-CN"/>
              </w:rPr>
            </w:pPr>
          </w:p>
        </w:tc>
        <w:tc>
          <w:tcPr>
            <w:tcW w:w="1140" w:type="dxa"/>
            <w:vMerge w:val="continue"/>
          </w:tcPr>
          <w:p w14:paraId="585685FF">
            <w:pPr>
              <w:pStyle w:val="15"/>
              <w:keepNext w:val="0"/>
              <w:keepLines w:val="0"/>
              <w:pageBreakBefore w:val="0"/>
              <w:widowControl w:val="0"/>
              <w:kinsoku/>
              <w:wordWrap/>
              <w:overflowPunct/>
              <w:topLinePunct w:val="0"/>
              <w:bidi w:val="0"/>
              <w:adjustRightInd/>
              <w:snapToGrid w:val="0"/>
              <w:spacing w:line="400" w:lineRule="exact"/>
              <w:ind w:firstLine="562" w:firstLineChars="200"/>
              <w:jc w:val="both"/>
              <w:textAlignment w:val="baseline"/>
              <w:rPr>
                <w:rFonts w:hint="eastAsia" w:ascii="宋体" w:hAnsi="宋体" w:eastAsia="宋体" w:cs="宋体"/>
                <w:b/>
                <w:color w:val="auto"/>
                <w:sz w:val="28"/>
                <w:szCs w:val="28"/>
                <w:highlight w:val="none"/>
              </w:rPr>
            </w:pPr>
          </w:p>
        </w:tc>
      </w:tr>
      <w:tr w14:paraId="6C9B8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820" w:type="dxa"/>
            <w:vAlign w:val="center"/>
          </w:tcPr>
          <w:p w14:paraId="15159265">
            <w:pPr>
              <w:pStyle w:val="15"/>
              <w:snapToGrid w:val="0"/>
              <w:spacing w:line="460" w:lineRule="exact"/>
              <w:jc w:val="center"/>
              <w:textAlignment w:val="baseline"/>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w:t>
            </w:r>
          </w:p>
        </w:tc>
        <w:tc>
          <w:tcPr>
            <w:tcW w:w="7340" w:type="dxa"/>
          </w:tcPr>
          <w:p w14:paraId="0626A806">
            <w:pPr>
              <w:pStyle w:val="16"/>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ind w:leftChars="0"/>
              <w:jc w:val="both"/>
              <w:textAlignment w:val="baseline"/>
              <w:rPr>
                <w:rFonts w:hint="eastAsia" w:ascii="仿宋_GB2312" w:hAnsi="仿宋_GB2312" w:eastAsia="仿宋_GB2312" w:cs="仿宋_GB2312"/>
                <w:color w:val="auto"/>
                <w:kern w:val="2"/>
                <w:sz w:val="28"/>
                <w:szCs w:val="28"/>
                <w:highlight w:val="none"/>
                <w:u w:val="none"/>
                <w:lang w:val="en-US" w:eastAsia="zh-CN" w:bidi="zh-CN"/>
              </w:rPr>
            </w:pPr>
            <w:r>
              <w:rPr>
                <w:rFonts w:hint="eastAsia" w:ascii="宋体" w:hAnsi="宋体" w:eastAsia="宋体" w:cs="宋体"/>
                <w:b/>
                <w:bCs/>
                <w:color w:val="auto"/>
                <w:kern w:val="2"/>
                <w:sz w:val="28"/>
                <w:szCs w:val="28"/>
                <w:highlight w:val="none"/>
                <w:u w:val="none"/>
                <w:lang w:val="en-US" w:eastAsia="zh-CN" w:bidi="zh-CN"/>
              </w:rPr>
              <w:t>其他要求</w:t>
            </w:r>
            <w:r>
              <w:rPr>
                <w:rFonts w:hint="eastAsia" w:ascii="宋体" w:hAnsi="宋体" w:eastAsia="宋体" w:cs="宋体"/>
                <w:b/>
                <w:bCs/>
                <w:color w:val="auto"/>
                <w:sz w:val="28"/>
                <w:szCs w:val="28"/>
                <w:highlight w:val="none"/>
                <w:u w:val="none"/>
                <w:lang w:val="en-US" w:eastAsia="zh-CN" w:bidi="zh-CN"/>
              </w:rPr>
              <w:t>：</w:t>
            </w:r>
          </w:p>
          <w:p w14:paraId="780487D0">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（1）投标人需提供近三年无重大违法记录声明，且近3年未被列入失信被执行人、重大税收违法案件当事人名单、采购严重违法失信行为记录名单，信用信息的查询渠道为“信用中国”网站（www.creditchina.gov.cn）。</w:t>
            </w:r>
          </w:p>
          <w:p w14:paraId="4BB5EABD">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（2）投标人必须在“中国裁判文书网”查询本单位及法定代表人近三年（查询时间段2023年8月至投标截止日）是否有行贿犯罪记录并提供截图，未提供的或有行贿犯罪记录的投标无效，取消其投标资格。</w:t>
            </w:r>
          </w:p>
          <w:p w14:paraId="6F3E26DD">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（3）是否接受联合体投标：否。</w:t>
            </w:r>
          </w:p>
        </w:tc>
        <w:tc>
          <w:tcPr>
            <w:tcW w:w="1140" w:type="dxa"/>
            <w:vMerge w:val="continue"/>
          </w:tcPr>
          <w:p w14:paraId="3943DDA5">
            <w:pPr>
              <w:pStyle w:val="15"/>
              <w:keepNext w:val="0"/>
              <w:keepLines w:val="0"/>
              <w:pageBreakBefore w:val="0"/>
              <w:widowControl w:val="0"/>
              <w:kinsoku/>
              <w:wordWrap/>
              <w:overflowPunct/>
              <w:topLinePunct w:val="0"/>
              <w:bidi w:val="0"/>
              <w:adjustRightInd/>
              <w:snapToGrid w:val="0"/>
              <w:spacing w:line="400" w:lineRule="exact"/>
              <w:ind w:firstLine="562" w:firstLineChars="200"/>
              <w:jc w:val="both"/>
              <w:textAlignment w:val="baseline"/>
              <w:rPr>
                <w:rFonts w:hint="eastAsia" w:ascii="宋体" w:hAnsi="宋体" w:eastAsia="宋体" w:cs="宋体"/>
                <w:b/>
                <w:color w:val="auto"/>
                <w:sz w:val="28"/>
                <w:szCs w:val="28"/>
                <w:highlight w:val="none"/>
              </w:rPr>
            </w:pPr>
          </w:p>
        </w:tc>
      </w:tr>
      <w:tr w14:paraId="57562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1" w:hRule="atLeast"/>
          <w:jc w:val="center"/>
        </w:trPr>
        <w:tc>
          <w:tcPr>
            <w:tcW w:w="820" w:type="dxa"/>
            <w:vAlign w:val="center"/>
          </w:tcPr>
          <w:p w14:paraId="1A0ED316">
            <w:pPr>
              <w:pStyle w:val="15"/>
              <w:snapToGrid w:val="0"/>
              <w:spacing w:line="460" w:lineRule="exact"/>
              <w:jc w:val="center"/>
              <w:textAlignment w:val="baseline"/>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w:t>
            </w:r>
          </w:p>
        </w:tc>
        <w:tc>
          <w:tcPr>
            <w:tcW w:w="7340" w:type="dxa"/>
            <w:vAlign w:val="center"/>
          </w:tcPr>
          <w:p w14:paraId="3A878862">
            <w:pPr>
              <w:pStyle w:val="15"/>
              <w:keepNext w:val="0"/>
              <w:keepLines w:val="0"/>
              <w:pageBreakBefore w:val="0"/>
              <w:widowControl w:val="0"/>
              <w:kinsoku/>
              <w:wordWrap/>
              <w:overflowPunct/>
              <w:topLinePunct w:val="0"/>
              <w:autoSpaceDE w:val="0"/>
              <w:autoSpaceDN w:val="0"/>
              <w:bidi w:val="0"/>
              <w:adjustRightInd/>
              <w:snapToGrid w:val="0"/>
              <w:spacing w:line="400" w:lineRule="exact"/>
              <w:jc w:val="both"/>
              <w:textAlignment w:val="baseline"/>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是否有招标人不能接受的其他条款</w:t>
            </w:r>
          </w:p>
        </w:tc>
        <w:tc>
          <w:tcPr>
            <w:tcW w:w="1140" w:type="dxa"/>
          </w:tcPr>
          <w:p w14:paraId="2459FF53">
            <w:pPr>
              <w:pStyle w:val="15"/>
              <w:snapToGrid w:val="0"/>
              <w:spacing w:line="460" w:lineRule="exact"/>
              <w:ind w:firstLine="560" w:firstLineChars="200"/>
              <w:jc w:val="both"/>
              <w:textAlignment w:val="baseline"/>
              <w:rPr>
                <w:rFonts w:hint="eastAsia" w:ascii="宋体" w:hAnsi="宋体" w:eastAsia="宋体" w:cs="宋体"/>
                <w:color w:val="auto"/>
                <w:sz w:val="28"/>
                <w:szCs w:val="28"/>
                <w:highlight w:val="none"/>
              </w:rPr>
            </w:pPr>
          </w:p>
        </w:tc>
      </w:tr>
    </w:tbl>
    <w:p w14:paraId="509D105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baseline"/>
        <w:rPr>
          <w:rFonts w:hint="eastAsia" w:ascii="黑体" w:hAnsi="黑体" w:eastAsia="黑体" w:cs="黑体"/>
          <w:b w:val="0"/>
          <w:bCs/>
          <w:color w:val="auto"/>
          <w:sz w:val="32"/>
          <w:szCs w:val="32"/>
          <w:highlight w:val="none"/>
          <w:lang w:val="en-US" w:eastAsia="zh-CN"/>
        </w:rPr>
      </w:pPr>
      <w:r>
        <w:rPr>
          <w:rFonts w:hint="eastAsia" w:ascii="黑体" w:hAnsi="黑体" w:eastAsia="黑体" w:cs="黑体"/>
          <w:b w:val="0"/>
          <w:bCs/>
          <w:color w:val="auto"/>
          <w:sz w:val="32"/>
          <w:szCs w:val="32"/>
          <w:highlight w:val="none"/>
          <w:lang w:val="en-US" w:eastAsia="zh-CN"/>
        </w:rPr>
        <w:t>二、评分办法</w:t>
      </w:r>
    </w:p>
    <w:p w14:paraId="47AA5B7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本次评标采用综合评分法。综合评分法是指评标委员会根据招标文件的要求，对投标人进行综合评审，经评审后向招标人推荐不超过三名有排序的合格的中标候选人的一种评标办法。</w:t>
      </w:r>
    </w:p>
    <w:p w14:paraId="647DE27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按投标人投标文件送达的先后顺序开标。投标人的投标报价超过招标控制价的为废标。评标委员会将只对通过初步评审的投标文件进行评价和比较。</w:t>
      </w:r>
    </w:p>
    <w:p w14:paraId="4BA9C3C6">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评分标准（总分100分）投标的综合得分为：</w:t>
      </w:r>
    </w:p>
    <w:tbl>
      <w:tblPr>
        <w:tblStyle w:val="11"/>
        <w:tblW w:w="92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6"/>
        <w:gridCol w:w="1039"/>
        <w:gridCol w:w="1100"/>
        <w:gridCol w:w="5533"/>
      </w:tblGrid>
      <w:tr w14:paraId="3F5CE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1556" w:type="dxa"/>
            <w:vAlign w:val="center"/>
          </w:tcPr>
          <w:p w14:paraId="1A0AA4C4">
            <w:pPr>
              <w:snapToGrid w:val="0"/>
              <w:jc w:val="center"/>
              <w:textAlignment w:val="baseline"/>
              <w:rPr>
                <w:rFonts w:hint="eastAsia" w:ascii="宋体" w:hAnsi="宋体" w:eastAsia="宋体" w:cs="宋体"/>
                <w:b/>
                <w:bCs/>
                <w:color w:val="auto"/>
                <w:sz w:val="28"/>
                <w:szCs w:val="28"/>
                <w:highlight w:val="red"/>
                <w:lang w:val="en-US" w:eastAsia="zh-CN"/>
              </w:rPr>
            </w:pPr>
            <w:r>
              <w:rPr>
                <w:rFonts w:hint="eastAsia" w:ascii="宋体" w:hAnsi="宋体" w:eastAsia="宋体" w:cs="宋体"/>
                <w:b/>
                <w:bCs/>
                <w:color w:val="auto"/>
                <w:sz w:val="28"/>
                <w:szCs w:val="28"/>
                <w:highlight w:val="none"/>
                <w:lang w:val="en-US" w:eastAsia="zh-CN"/>
              </w:rPr>
              <w:t>项目</w:t>
            </w:r>
          </w:p>
        </w:tc>
        <w:tc>
          <w:tcPr>
            <w:tcW w:w="1039" w:type="dxa"/>
            <w:vAlign w:val="center"/>
          </w:tcPr>
          <w:p w14:paraId="40460797">
            <w:pPr>
              <w:snapToGrid w:val="0"/>
              <w:jc w:val="center"/>
              <w:textAlignment w:val="baseline"/>
              <w:rPr>
                <w:rFonts w:hint="eastAsia" w:ascii="宋体" w:hAnsi="宋体" w:eastAsia="宋体" w:cs="宋体"/>
                <w:b/>
                <w:bCs/>
                <w:color w:val="auto"/>
                <w:sz w:val="28"/>
                <w:szCs w:val="28"/>
                <w:highlight w:val="red"/>
                <w:lang w:val="en-US" w:eastAsia="zh-CN"/>
              </w:rPr>
            </w:pPr>
            <w:r>
              <w:rPr>
                <w:rFonts w:hint="eastAsia" w:ascii="宋体" w:hAnsi="宋体" w:eastAsia="宋体" w:cs="宋体"/>
                <w:b/>
                <w:bCs/>
                <w:color w:val="auto"/>
                <w:sz w:val="28"/>
                <w:szCs w:val="28"/>
                <w:highlight w:val="none"/>
                <w:lang w:val="en-US" w:eastAsia="zh-CN"/>
              </w:rPr>
              <w:t>评分项目</w:t>
            </w:r>
          </w:p>
        </w:tc>
        <w:tc>
          <w:tcPr>
            <w:tcW w:w="1100" w:type="dxa"/>
            <w:vAlign w:val="center"/>
          </w:tcPr>
          <w:p w14:paraId="3ED62D0E">
            <w:pPr>
              <w:snapToGrid w:val="0"/>
              <w:jc w:val="center"/>
              <w:textAlignment w:val="baseline"/>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分值</w:t>
            </w:r>
          </w:p>
        </w:tc>
        <w:tc>
          <w:tcPr>
            <w:tcW w:w="5533" w:type="dxa"/>
            <w:vAlign w:val="center"/>
          </w:tcPr>
          <w:p w14:paraId="2EF1485D">
            <w:pPr>
              <w:snapToGrid w:val="0"/>
              <w:jc w:val="center"/>
              <w:textAlignment w:val="baseline"/>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评分标准</w:t>
            </w:r>
          </w:p>
        </w:tc>
      </w:tr>
      <w:tr w14:paraId="01CE4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jc w:val="center"/>
        </w:trPr>
        <w:tc>
          <w:tcPr>
            <w:tcW w:w="1556" w:type="dxa"/>
            <w:vAlign w:val="center"/>
          </w:tcPr>
          <w:p w14:paraId="2C268E0B">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报价部分</w:t>
            </w:r>
          </w:p>
          <w:p w14:paraId="50723211">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（20分）</w:t>
            </w:r>
          </w:p>
        </w:tc>
        <w:tc>
          <w:tcPr>
            <w:tcW w:w="1039" w:type="dxa"/>
            <w:vAlign w:val="center"/>
          </w:tcPr>
          <w:p w14:paraId="4C63AEE9">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bCs/>
                <w:sz w:val="28"/>
                <w:szCs w:val="28"/>
                <w:highlight w:val="none"/>
                <w:lang w:bidi="ar"/>
              </w:rPr>
              <w:t>投标报价评分</w:t>
            </w:r>
          </w:p>
        </w:tc>
        <w:tc>
          <w:tcPr>
            <w:tcW w:w="1100" w:type="dxa"/>
            <w:vAlign w:val="center"/>
          </w:tcPr>
          <w:p w14:paraId="3DC93E62">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20</w:t>
            </w:r>
          </w:p>
        </w:tc>
        <w:tc>
          <w:tcPr>
            <w:tcW w:w="5533" w:type="dxa"/>
            <w:vAlign w:val="center"/>
          </w:tcPr>
          <w:p w14:paraId="0BF5E7E6">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1.确定有效投标报价：以招标控制价为基准，投标报价低于招标控制价的投标报价为有效投标报价，否则为无效投标报价。</w:t>
            </w:r>
          </w:p>
          <w:p w14:paraId="6E9DA2E2">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2.确定评标基准价： 当N≤6家时，计算全部有效投标报价的算术平均值，作为评标基准价。 当6＜N≤10家时，先将有效投标报价由低到高排序，去除最高和最低投标报价后的剩余投标报价，计算算术平均值，作为评标基准价。 当N＞10家时，先将有效投标报价由低到高排序，去除2个最高投标报价最高价、2个最低投标报价后的剩余投标报价，计算算术平均值，作为评标基准价。 其中N为有效投标报价的投标人数量。</w:t>
            </w:r>
          </w:p>
          <w:p w14:paraId="4E024AE5">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3.确定投标报价得分: 有效投标报价等于评标基准价时，得该项分值的满分 F＝【20】-（有效投标报价-评标基准价）÷评标基准价×100×【0.2】（有效投标报价＞评标基准价时） F＝【20】-（评标基准价-有效投标报价）÷评标基准价×100×【0.1】   （有效投标报价≤评标基准价时） 其中：F≥0。</w:t>
            </w:r>
          </w:p>
          <w:p w14:paraId="72927794">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kern w:val="2"/>
                <w:sz w:val="28"/>
                <w:szCs w:val="28"/>
                <w:highlight w:val="none"/>
                <w:u w:val="none"/>
                <w:lang w:val="en-US" w:eastAsia="zh-CN" w:bidi="zh-CN"/>
              </w:rPr>
              <w:t>4.得分保留两位小数，第三位四舍五入。</w:t>
            </w:r>
          </w:p>
        </w:tc>
      </w:tr>
      <w:tr w14:paraId="1B4BA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6" w:hRule="atLeast"/>
          <w:jc w:val="center"/>
        </w:trPr>
        <w:tc>
          <w:tcPr>
            <w:tcW w:w="1556" w:type="dxa"/>
            <w:vMerge w:val="restart"/>
            <w:vAlign w:val="center"/>
          </w:tcPr>
          <w:p w14:paraId="20DC031E">
            <w:pPr>
              <w:pStyle w:val="2"/>
              <w:ind w:left="0" w:leftChars="0" w:firstLine="0" w:firstLineChars="0"/>
              <w:jc w:val="center"/>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商务部分</w:t>
            </w:r>
          </w:p>
          <w:p w14:paraId="0FFBB74E">
            <w:pPr>
              <w:pStyle w:val="2"/>
              <w:ind w:left="0" w:leftChars="0" w:firstLine="0" w:firstLineChars="0"/>
              <w:jc w:val="center"/>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（30分）</w:t>
            </w:r>
          </w:p>
        </w:tc>
        <w:tc>
          <w:tcPr>
            <w:tcW w:w="1039" w:type="dxa"/>
            <w:shd w:val="clear" w:color="auto" w:fill="auto"/>
            <w:vAlign w:val="center"/>
          </w:tcPr>
          <w:p w14:paraId="79A30D2E">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企业业 绩</w:t>
            </w:r>
          </w:p>
        </w:tc>
        <w:tc>
          <w:tcPr>
            <w:tcW w:w="1100" w:type="dxa"/>
            <w:vAlign w:val="center"/>
          </w:tcPr>
          <w:p w14:paraId="4BE5163A">
            <w:pPr>
              <w:pStyle w:val="2"/>
              <w:ind w:left="0" w:leftChars="0" w:firstLine="0" w:firstLineChars="0"/>
              <w:jc w:val="center"/>
              <w:rPr>
                <w:rFonts w:hint="default"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10</w:t>
            </w:r>
          </w:p>
        </w:tc>
        <w:tc>
          <w:tcPr>
            <w:tcW w:w="5533" w:type="dxa"/>
            <w:vAlign w:val="center"/>
          </w:tcPr>
          <w:p w14:paraId="0598268F">
            <w:pPr>
              <w:pStyle w:val="16"/>
              <w:keepNext w:val="0"/>
              <w:keepLines w:val="0"/>
              <w:pageBreakBefore w:val="0"/>
              <w:widowControl w:val="0"/>
              <w:kinsoku/>
              <w:wordWrap/>
              <w:overflowPunct/>
              <w:topLinePunct w:val="0"/>
              <w:autoSpaceDE w:val="0"/>
              <w:autoSpaceDN w:val="0"/>
              <w:bidi w:val="0"/>
              <w:adjustRightInd/>
              <w:snapToGrid w:val="0"/>
              <w:spacing w:line="400" w:lineRule="exact"/>
              <w:ind w:left="0" w:firstLine="0"/>
              <w:jc w:val="both"/>
              <w:textAlignment w:val="baseline"/>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sz w:val="28"/>
                <w:szCs w:val="28"/>
                <w:highlight w:val="none"/>
                <w:u w:val="none"/>
                <w:lang w:val="en-US" w:eastAsia="zh-CN" w:bidi="zh-CN"/>
              </w:rPr>
              <w:t>近3年(2023年8月1日至投标截止日)承担过总投资额在300万元及以上类似项目</w:t>
            </w:r>
            <w:r>
              <w:rPr>
                <w:rFonts w:hint="eastAsia" w:ascii="仿宋_GB2312" w:hAnsi="仿宋_GB2312" w:eastAsia="仿宋_GB2312" w:cs="仿宋_GB2312"/>
                <w:color w:val="auto"/>
                <w:sz w:val="28"/>
                <w:szCs w:val="28"/>
                <w:highlight w:val="none"/>
                <w:lang w:val="en-US" w:eastAsia="zh-CN"/>
              </w:rPr>
              <w:t>（或设计面积在2000m</w:t>
            </w:r>
            <w:r>
              <w:rPr>
                <w:rFonts w:hint="eastAsia" w:ascii="仿宋_GB2312" w:hAnsi="仿宋_GB2312" w:eastAsia="仿宋_GB2312" w:cs="仿宋_GB2312"/>
                <w:color w:val="auto"/>
                <w:sz w:val="28"/>
                <w:szCs w:val="28"/>
                <w:highlight w:val="none"/>
                <w:vertAlign w:val="superscript"/>
                <w:lang w:val="en-US" w:eastAsia="zh-CN"/>
              </w:rPr>
              <w:t>2</w:t>
            </w:r>
            <w:r>
              <w:rPr>
                <w:rFonts w:hint="eastAsia" w:ascii="仿宋_GB2312" w:hAnsi="仿宋_GB2312" w:eastAsia="仿宋_GB2312" w:cs="仿宋_GB2312"/>
                <w:color w:val="auto"/>
                <w:sz w:val="28"/>
                <w:szCs w:val="28"/>
                <w:highlight w:val="none"/>
                <w:lang w:val="en-US" w:eastAsia="zh-CN"/>
              </w:rPr>
              <w:t>及以上)</w:t>
            </w:r>
            <w:r>
              <w:rPr>
                <w:rFonts w:hint="eastAsia" w:ascii="仿宋_GB2312" w:hAnsi="仿宋_GB2312" w:eastAsia="仿宋_GB2312" w:cs="仿宋_GB2312"/>
                <w:color w:val="auto"/>
                <w:sz w:val="28"/>
                <w:szCs w:val="28"/>
                <w:highlight w:val="none"/>
                <w:u w:val="none"/>
                <w:lang w:val="en-US" w:eastAsia="zh-CN" w:bidi="zh-CN"/>
              </w:rPr>
              <w:t>的设计业绩至少1项。</w:t>
            </w:r>
            <w:r>
              <w:rPr>
                <w:rFonts w:hint="eastAsia" w:ascii="仿宋_GB2312" w:hAnsi="仿宋_GB2312" w:eastAsia="仿宋_GB2312" w:cs="仿宋_GB2312"/>
                <w:color w:val="auto"/>
                <w:kern w:val="2"/>
                <w:sz w:val="28"/>
                <w:szCs w:val="28"/>
                <w:highlight w:val="none"/>
                <w:u w:val="none"/>
                <w:lang w:val="en-US" w:eastAsia="zh-CN" w:bidi="zh-CN"/>
              </w:rPr>
              <w:t>每提供一项的得5分，最多10分 。</w:t>
            </w:r>
            <w:r>
              <w:rPr>
                <w:rFonts w:hint="eastAsia" w:ascii="仿宋_GB2312" w:hAnsi="仿宋_GB2312" w:eastAsia="仿宋_GB2312" w:cs="仿宋_GB2312"/>
                <w:color w:val="auto"/>
                <w:sz w:val="28"/>
                <w:szCs w:val="28"/>
                <w:highlight w:val="none"/>
                <w:u w:val="none"/>
                <w:lang w:val="en-US" w:eastAsia="zh-CN" w:bidi="zh-CN"/>
              </w:rPr>
              <w:t>(须提供中标通知书或合同复印件)</w:t>
            </w:r>
          </w:p>
        </w:tc>
      </w:tr>
      <w:tr w14:paraId="288CE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6" w:hRule="atLeast"/>
          <w:jc w:val="center"/>
        </w:trPr>
        <w:tc>
          <w:tcPr>
            <w:tcW w:w="1556" w:type="dxa"/>
            <w:vMerge w:val="continue"/>
            <w:vAlign w:val="center"/>
          </w:tcPr>
          <w:p w14:paraId="1FF28967">
            <w:pPr>
              <w:pStyle w:val="2"/>
              <w:ind w:left="0" w:leftChars="0" w:firstLine="0" w:firstLineChars="0"/>
              <w:jc w:val="center"/>
              <w:rPr>
                <w:rFonts w:hint="eastAsia" w:ascii="仿宋_GB2312" w:hAnsi="仿宋_GB2312" w:eastAsia="仿宋_GB2312" w:cs="仿宋_GB2312"/>
                <w:color w:val="auto"/>
                <w:kern w:val="2"/>
                <w:sz w:val="28"/>
                <w:szCs w:val="28"/>
                <w:highlight w:val="none"/>
                <w:u w:val="none"/>
                <w:lang w:val="en-US" w:eastAsia="zh-CN" w:bidi="zh-CN"/>
              </w:rPr>
            </w:pPr>
          </w:p>
        </w:tc>
        <w:tc>
          <w:tcPr>
            <w:tcW w:w="1039" w:type="dxa"/>
            <w:shd w:val="clear" w:color="auto" w:fill="auto"/>
            <w:vAlign w:val="center"/>
          </w:tcPr>
          <w:p w14:paraId="415FD296">
            <w:pPr>
              <w:pStyle w:val="2"/>
              <w:ind w:left="0" w:leftChars="0" w:firstLine="0" w:firstLineChars="0"/>
              <w:jc w:val="center"/>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项目负责人</w:t>
            </w:r>
          </w:p>
        </w:tc>
        <w:tc>
          <w:tcPr>
            <w:tcW w:w="1100" w:type="dxa"/>
            <w:vAlign w:val="center"/>
          </w:tcPr>
          <w:p w14:paraId="00D0751F">
            <w:pPr>
              <w:pStyle w:val="2"/>
              <w:ind w:left="0" w:leftChars="0" w:firstLine="0" w:firstLineChars="0"/>
              <w:jc w:val="center"/>
              <w:rPr>
                <w:rFonts w:hint="default"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10</w:t>
            </w:r>
          </w:p>
        </w:tc>
        <w:tc>
          <w:tcPr>
            <w:tcW w:w="5533" w:type="dxa"/>
            <w:vAlign w:val="center"/>
          </w:tcPr>
          <w:p w14:paraId="5DA44403">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1、项目负责人具有一级注册建筑师执业资格得6分。</w:t>
            </w:r>
          </w:p>
          <w:p w14:paraId="3F248054">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2、项目负责人具有建筑相关专业高级及以上工程师职称得4分。</w:t>
            </w:r>
          </w:p>
        </w:tc>
      </w:tr>
      <w:tr w14:paraId="55673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6" w:hRule="atLeast"/>
          <w:jc w:val="center"/>
        </w:trPr>
        <w:tc>
          <w:tcPr>
            <w:tcW w:w="1556" w:type="dxa"/>
            <w:vMerge w:val="continue"/>
            <w:vAlign w:val="center"/>
          </w:tcPr>
          <w:p w14:paraId="46C7BF8B">
            <w:pPr>
              <w:pStyle w:val="2"/>
              <w:ind w:left="0" w:leftChars="0" w:firstLine="0" w:firstLineChars="0"/>
              <w:jc w:val="center"/>
              <w:rPr>
                <w:rFonts w:hint="eastAsia" w:ascii="仿宋_GB2312" w:hAnsi="仿宋_GB2312" w:eastAsia="仿宋_GB2312" w:cs="仿宋_GB2312"/>
                <w:color w:val="auto"/>
                <w:kern w:val="2"/>
                <w:sz w:val="28"/>
                <w:szCs w:val="28"/>
                <w:highlight w:val="none"/>
                <w:u w:val="none"/>
                <w:lang w:val="en-US" w:eastAsia="zh-CN" w:bidi="zh-CN"/>
              </w:rPr>
            </w:pPr>
          </w:p>
        </w:tc>
        <w:tc>
          <w:tcPr>
            <w:tcW w:w="1039" w:type="dxa"/>
            <w:shd w:val="clear" w:color="auto" w:fill="auto"/>
            <w:vAlign w:val="center"/>
          </w:tcPr>
          <w:p w14:paraId="0A811A78">
            <w:pPr>
              <w:pStyle w:val="2"/>
              <w:ind w:left="0" w:leftChars="0" w:firstLine="0" w:firstLineChars="0"/>
              <w:jc w:val="center"/>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团队人员</w:t>
            </w:r>
          </w:p>
        </w:tc>
        <w:tc>
          <w:tcPr>
            <w:tcW w:w="1100" w:type="dxa"/>
            <w:vAlign w:val="center"/>
          </w:tcPr>
          <w:p w14:paraId="69EA7748">
            <w:pPr>
              <w:pStyle w:val="2"/>
              <w:ind w:left="0" w:leftChars="0" w:firstLine="0" w:firstLineChars="0"/>
              <w:jc w:val="center"/>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10</w:t>
            </w:r>
          </w:p>
        </w:tc>
        <w:tc>
          <w:tcPr>
            <w:tcW w:w="5533" w:type="dxa"/>
            <w:vAlign w:val="center"/>
          </w:tcPr>
          <w:p w14:paraId="08A2ED4B">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团队人员须由建筑、结构、电气、给排水、暖通等方面专业人员组成。 以上相关专业人员每提供相关专业注册类证书的，得1分，最多得5分；以上相关专业人员每提供一个高级及以上职称的得1分，最多5分 。</w:t>
            </w:r>
          </w:p>
          <w:p w14:paraId="7D5C57FC">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以上人员需提供在本公司近3个月社保证明材料</w:t>
            </w:r>
          </w:p>
        </w:tc>
      </w:tr>
      <w:tr w14:paraId="31903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5" w:hRule="atLeast"/>
          <w:jc w:val="center"/>
        </w:trPr>
        <w:tc>
          <w:tcPr>
            <w:tcW w:w="1556" w:type="dxa"/>
            <w:vMerge w:val="restart"/>
            <w:shd w:val="clear" w:color="auto" w:fill="auto"/>
            <w:vAlign w:val="center"/>
          </w:tcPr>
          <w:p w14:paraId="009523AA">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技术部分</w:t>
            </w:r>
          </w:p>
          <w:p w14:paraId="0CDFE013">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（50分）</w:t>
            </w:r>
          </w:p>
          <w:p w14:paraId="63111003">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p>
        </w:tc>
        <w:tc>
          <w:tcPr>
            <w:tcW w:w="1039" w:type="dxa"/>
            <w:shd w:val="clear" w:color="auto" w:fill="auto"/>
            <w:vAlign w:val="center"/>
          </w:tcPr>
          <w:p w14:paraId="77D7EC0F">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sz w:val="28"/>
                <w:szCs w:val="28"/>
              </w:rPr>
              <w:t>对招标项目和工程现状的认识</w:t>
            </w:r>
          </w:p>
        </w:tc>
        <w:tc>
          <w:tcPr>
            <w:tcW w:w="1100" w:type="dxa"/>
            <w:shd w:val="clear" w:color="auto" w:fill="auto"/>
            <w:vAlign w:val="center"/>
          </w:tcPr>
          <w:p w14:paraId="15B806D4">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5</w:t>
            </w:r>
          </w:p>
        </w:tc>
        <w:tc>
          <w:tcPr>
            <w:tcW w:w="5533" w:type="dxa"/>
            <w:shd w:val="clear" w:color="auto" w:fill="auto"/>
            <w:vAlign w:val="center"/>
          </w:tcPr>
          <w:p w14:paraId="795B94D4">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lang w:val="en-US" w:eastAsia="zh-CN" w:bidi="zh-CN"/>
              </w:rPr>
              <w:t>1、</w:t>
            </w:r>
            <w:r>
              <w:rPr>
                <w:rFonts w:hint="eastAsia" w:ascii="仿宋_GB2312" w:hAnsi="仿宋_GB2312" w:eastAsia="仿宋_GB2312" w:cs="仿宋_GB2312"/>
                <w:color w:val="auto"/>
                <w:kern w:val="2"/>
                <w:sz w:val="28"/>
                <w:szCs w:val="28"/>
                <w:highlight w:val="none"/>
                <w:u w:val="none"/>
                <w:lang w:val="en-US" w:eastAsia="zh-CN" w:bidi="zh-CN"/>
              </w:rPr>
              <w:t xml:space="preserve">对招标项目理解及上位规划的认识深刻，对工程现状熟悉，陈述详尽，对现状存在的问题分析准确，得 4～5分； </w:t>
            </w:r>
          </w:p>
          <w:p w14:paraId="3172CB7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lang w:val="en-US" w:eastAsia="zh-CN" w:bidi="zh-CN"/>
              </w:rPr>
              <w:t>2、</w:t>
            </w:r>
            <w:r>
              <w:rPr>
                <w:rFonts w:hint="eastAsia" w:ascii="仿宋_GB2312" w:hAnsi="仿宋_GB2312" w:eastAsia="仿宋_GB2312" w:cs="仿宋_GB2312"/>
                <w:color w:val="auto"/>
                <w:kern w:val="2"/>
                <w:sz w:val="28"/>
                <w:szCs w:val="28"/>
                <w:highlight w:val="none"/>
                <w:u w:val="none"/>
                <w:lang w:val="en-US" w:eastAsia="zh-CN" w:bidi="zh-CN"/>
              </w:rPr>
              <w:t xml:space="preserve">对招标项目理解及上位规划的认识比较清晰，对工程现状情况较为熟悉，陈述一般，对存在问题分析基本准确，得 2～3 分； </w:t>
            </w:r>
          </w:p>
          <w:p w14:paraId="147B416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lang w:val="en-US" w:eastAsia="zh-CN" w:bidi="zh-CN"/>
              </w:rPr>
              <w:t>3、</w:t>
            </w:r>
            <w:r>
              <w:rPr>
                <w:rFonts w:hint="eastAsia" w:ascii="仿宋_GB2312" w:hAnsi="仿宋_GB2312" w:eastAsia="仿宋_GB2312" w:cs="仿宋_GB2312"/>
                <w:color w:val="auto"/>
                <w:kern w:val="2"/>
                <w:sz w:val="28"/>
                <w:szCs w:val="28"/>
                <w:highlight w:val="none"/>
                <w:u w:val="none"/>
                <w:lang w:val="en-US" w:eastAsia="zh-CN" w:bidi="zh-CN"/>
              </w:rPr>
              <w:t>对招标项目及上位规划有一定了解，工程现状情况有一定的了解，陈述较少， 对存在问题有一定的分析，得 0～1分。</w:t>
            </w:r>
          </w:p>
        </w:tc>
      </w:tr>
      <w:tr w14:paraId="7A251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5" w:hRule="atLeast"/>
          <w:jc w:val="center"/>
        </w:trPr>
        <w:tc>
          <w:tcPr>
            <w:tcW w:w="1556" w:type="dxa"/>
            <w:vMerge w:val="continue"/>
            <w:shd w:val="clear" w:color="auto" w:fill="auto"/>
            <w:vAlign w:val="center"/>
          </w:tcPr>
          <w:p w14:paraId="3FC8CA17">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p>
        </w:tc>
        <w:tc>
          <w:tcPr>
            <w:tcW w:w="1039" w:type="dxa"/>
            <w:shd w:val="clear" w:color="auto" w:fill="auto"/>
            <w:vAlign w:val="center"/>
          </w:tcPr>
          <w:p w14:paraId="211D1321">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sz w:val="28"/>
                <w:szCs w:val="28"/>
              </w:rPr>
              <w:t>设计方案</w:t>
            </w:r>
          </w:p>
        </w:tc>
        <w:tc>
          <w:tcPr>
            <w:tcW w:w="1100" w:type="dxa"/>
            <w:shd w:val="clear" w:color="auto" w:fill="auto"/>
            <w:vAlign w:val="center"/>
          </w:tcPr>
          <w:p w14:paraId="53579884">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35</w:t>
            </w:r>
          </w:p>
        </w:tc>
        <w:tc>
          <w:tcPr>
            <w:tcW w:w="5533" w:type="dxa"/>
            <w:shd w:val="clear" w:color="auto" w:fill="auto"/>
            <w:vAlign w:val="center"/>
          </w:tcPr>
          <w:p w14:paraId="6E4D06B7">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lang w:val="en-US" w:eastAsia="zh-CN" w:bidi="zh-CN"/>
              </w:rPr>
              <w:t>1、</w:t>
            </w:r>
            <w:r>
              <w:rPr>
                <w:rFonts w:hint="eastAsia" w:ascii="仿宋_GB2312" w:hAnsi="仿宋_GB2312" w:eastAsia="仿宋_GB2312" w:cs="仿宋_GB2312"/>
                <w:color w:val="auto"/>
                <w:kern w:val="2"/>
                <w:sz w:val="28"/>
                <w:szCs w:val="28"/>
                <w:highlight w:val="none"/>
                <w:u w:val="none"/>
                <w:lang w:val="en-US" w:eastAsia="zh-CN" w:bidi="zh-CN"/>
              </w:rPr>
              <w:t>总体思路（10分）：</w:t>
            </w:r>
          </w:p>
          <w:p w14:paraId="54F816D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280" w:firstLineChars="100"/>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 xml:space="preserve">梳理设计总体思路(满足通风、消防等要求)，针对整体方案进行评审，优8～10分、中6～7分、差4～5分，未提供不得分。   </w:t>
            </w:r>
          </w:p>
          <w:p w14:paraId="5ACA9625">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2、室内装饰方案（20分）：</w:t>
            </w:r>
          </w:p>
          <w:p w14:paraId="1814AE3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280" w:firstLineChars="100"/>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 xml:space="preserve">优18～20分、中10～15分、差3～8分，未提供不得分。 </w:t>
            </w:r>
          </w:p>
          <w:p w14:paraId="67BDB8E8">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3、景观方案（5分） ：</w:t>
            </w:r>
          </w:p>
          <w:p w14:paraId="49F3F0F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280" w:firstLineChars="100"/>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 xml:space="preserve">优4～5分、中2～3分、未提供不得分。 </w:t>
            </w:r>
          </w:p>
          <w:p w14:paraId="7FD80B95">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评分标准：（1）优：设计理念新颖、贴合项目定位、思路清晰、落地性强；（2）中：整体布局合理、功能完善、经济合理、符合规范；（3）差：方案一般、适配性不足。</w:t>
            </w:r>
          </w:p>
          <w:p w14:paraId="763EC0E2">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b/>
                <w:bCs/>
                <w:sz w:val="28"/>
                <w:szCs w:val="28"/>
              </w:rPr>
              <w:t>注：每项方案须提供</w:t>
            </w:r>
            <w:r>
              <w:rPr>
                <w:rFonts w:hint="eastAsia" w:ascii="仿宋_GB2312" w:hAnsi="仿宋_GB2312" w:eastAsia="仿宋_GB2312" w:cs="仿宋_GB2312"/>
                <w:b/>
                <w:bCs/>
                <w:sz w:val="28"/>
                <w:szCs w:val="28"/>
                <w:highlight w:val="none"/>
              </w:rPr>
              <w:t>效果图</w:t>
            </w:r>
            <w:r>
              <w:rPr>
                <w:rFonts w:hint="eastAsia" w:ascii="仿宋_GB2312" w:hAnsi="仿宋_GB2312" w:eastAsia="仿宋_GB2312" w:cs="仿宋_GB2312"/>
                <w:b/>
                <w:bCs/>
                <w:sz w:val="28"/>
                <w:szCs w:val="28"/>
              </w:rPr>
              <w:t>，否则不得分</w:t>
            </w:r>
          </w:p>
        </w:tc>
      </w:tr>
      <w:tr w14:paraId="50870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5" w:hRule="atLeast"/>
          <w:jc w:val="center"/>
        </w:trPr>
        <w:tc>
          <w:tcPr>
            <w:tcW w:w="1556" w:type="dxa"/>
            <w:vMerge w:val="continue"/>
            <w:shd w:val="clear" w:color="auto" w:fill="auto"/>
            <w:vAlign w:val="center"/>
          </w:tcPr>
          <w:p w14:paraId="4C9E9AA4">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p>
        </w:tc>
        <w:tc>
          <w:tcPr>
            <w:tcW w:w="1039" w:type="dxa"/>
            <w:shd w:val="clear" w:color="auto" w:fill="auto"/>
            <w:vAlign w:val="center"/>
          </w:tcPr>
          <w:p w14:paraId="3409894A">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sz w:val="28"/>
                <w:szCs w:val="28"/>
              </w:rPr>
              <w:t>设计组织协调方案</w:t>
            </w:r>
          </w:p>
        </w:tc>
        <w:tc>
          <w:tcPr>
            <w:tcW w:w="1100" w:type="dxa"/>
            <w:shd w:val="clear" w:color="auto" w:fill="auto"/>
            <w:vAlign w:val="center"/>
          </w:tcPr>
          <w:p w14:paraId="3EF1C4BD">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3</w:t>
            </w:r>
          </w:p>
        </w:tc>
        <w:tc>
          <w:tcPr>
            <w:tcW w:w="5533" w:type="dxa"/>
            <w:shd w:val="clear" w:color="auto" w:fill="auto"/>
            <w:vAlign w:val="center"/>
          </w:tcPr>
          <w:p w14:paraId="0549BEFE">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sz w:val="28"/>
                <w:szCs w:val="28"/>
              </w:rPr>
              <w:t>设计组织协调方案合理，得 2～3 分、设计组织协调方案一般，得 1～2 分、设计组织协调方案较差，得 0-1分（未提供不得分）。</w:t>
            </w:r>
          </w:p>
        </w:tc>
      </w:tr>
      <w:tr w14:paraId="6007F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5" w:hRule="atLeast"/>
          <w:jc w:val="center"/>
        </w:trPr>
        <w:tc>
          <w:tcPr>
            <w:tcW w:w="1556" w:type="dxa"/>
            <w:vMerge w:val="continue"/>
            <w:shd w:val="clear" w:color="auto" w:fill="auto"/>
            <w:vAlign w:val="center"/>
          </w:tcPr>
          <w:p w14:paraId="434372F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p>
        </w:tc>
        <w:tc>
          <w:tcPr>
            <w:tcW w:w="1039" w:type="dxa"/>
            <w:shd w:val="clear" w:color="auto" w:fill="auto"/>
            <w:vAlign w:val="center"/>
          </w:tcPr>
          <w:p w14:paraId="3E15A30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设计的质量保证措施、进度保证措施措施</w:t>
            </w:r>
          </w:p>
        </w:tc>
        <w:tc>
          <w:tcPr>
            <w:tcW w:w="1100" w:type="dxa"/>
            <w:shd w:val="clear" w:color="auto" w:fill="auto"/>
            <w:vAlign w:val="center"/>
          </w:tcPr>
          <w:p w14:paraId="14C65F9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3</w:t>
            </w:r>
          </w:p>
        </w:tc>
        <w:tc>
          <w:tcPr>
            <w:tcW w:w="5533" w:type="dxa"/>
            <w:shd w:val="clear" w:color="auto" w:fill="auto"/>
            <w:vAlign w:val="center"/>
          </w:tcPr>
          <w:p w14:paraId="6885B1FB">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sz w:val="28"/>
                <w:szCs w:val="28"/>
              </w:rPr>
              <w:t>设计质量保证措施、进度保证措施合理性强，有效性高的得2～3分、设计质量保证措施、进度保证措施合理性较强，有效性较高的得1～2分、设计质量保证措施、进度保证措施合理性一般，有效性一般的得0～1分（未提供不得分）。</w:t>
            </w:r>
          </w:p>
        </w:tc>
      </w:tr>
      <w:tr w14:paraId="574C7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5" w:hRule="atLeast"/>
          <w:jc w:val="center"/>
        </w:trPr>
        <w:tc>
          <w:tcPr>
            <w:tcW w:w="1556" w:type="dxa"/>
            <w:vMerge w:val="continue"/>
            <w:shd w:val="clear" w:color="auto" w:fill="auto"/>
            <w:vAlign w:val="center"/>
          </w:tcPr>
          <w:p w14:paraId="1E4F323E">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p>
        </w:tc>
        <w:tc>
          <w:tcPr>
            <w:tcW w:w="1039" w:type="dxa"/>
            <w:shd w:val="clear" w:color="auto" w:fill="auto"/>
            <w:vAlign w:val="center"/>
          </w:tcPr>
          <w:p w14:paraId="79454241">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后续服务的安排及保证措施</w:t>
            </w:r>
          </w:p>
        </w:tc>
        <w:tc>
          <w:tcPr>
            <w:tcW w:w="1100" w:type="dxa"/>
            <w:shd w:val="clear" w:color="auto" w:fill="auto"/>
            <w:vAlign w:val="center"/>
          </w:tcPr>
          <w:p w14:paraId="5EA6739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4</w:t>
            </w:r>
          </w:p>
        </w:tc>
        <w:tc>
          <w:tcPr>
            <w:tcW w:w="5533" w:type="dxa"/>
            <w:shd w:val="clear" w:color="auto" w:fill="auto"/>
            <w:vAlign w:val="center"/>
          </w:tcPr>
          <w:p w14:paraId="6859FFCC">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sz w:val="28"/>
                <w:szCs w:val="28"/>
              </w:rPr>
              <w:t>对后续服务的安排及保证措施好的得2～4分、对后续服务的安排及保证措施较好的得1～2分、对后续服务的安排及保证措施较一般的0～1分（未提供不得分）。</w:t>
            </w:r>
          </w:p>
        </w:tc>
      </w:tr>
    </w:tbl>
    <w:p w14:paraId="50B180A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baseline"/>
        <w:rPr>
          <w:rFonts w:hint="eastAsia" w:ascii="黑体" w:hAnsi="黑体" w:eastAsia="黑体" w:cs="黑体"/>
          <w:b w:val="0"/>
          <w:bCs/>
          <w:color w:val="auto"/>
          <w:sz w:val="32"/>
          <w:szCs w:val="32"/>
          <w:highlight w:val="none"/>
          <w:lang w:val="en-US" w:eastAsia="zh-CN"/>
        </w:rPr>
      </w:pPr>
      <w:r>
        <w:rPr>
          <w:rFonts w:hint="eastAsia" w:ascii="黑体" w:hAnsi="黑体" w:eastAsia="黑体" w:cs="黑体"/>
          <w:b w:val="0"/>
          <w:bCs/>
          <w:color w:val="auto"/>
          <w:sz w:val="32"/>
          <w:szCs w:val="32"/>
          <w:highlight w:val="none"/>
          <w:lang w:val="en-US" w:eastAsia="zh-CN"/>
        </w:rPr>
        <w:t>三、计分办法</w:t>
      </w:r>
    </w:p>
    <w:p w14:paraId="42FA4958">
      <w:pPr>
        <w:pStyle w:val="16"/>
        <w:keepNext w:val="0"/>
        <w:keepLines w:val="0"/>
        <w:pageBreakBefore w:val="0"/>
        <w:widowControl w:val="0"/>
        <w:tabs>
          <w:tab w:val="left" w:pos="1318"/>
        </w:tabs>
        <w:kinsoku/>
        <w:wordWrap/>
        <w:overflowPunct/>
        <w:topLinePunct w:val="0"/>
        <w:autoSpaceDE w:val="0"/>
        <w:autoSpaceDN w:val="0"/>
        <w:bidi w:val="0"/>
        <w:adjustRightInd/>
        <w:snapToGrid w:val="0"/>
        <w:spacing w:line="560" w:lineRule="exact"/>
        <w:ind w:left="0"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（一）评标委员会按照招标文件的要求给投标人打分，并按下列公式确定各投标人的评定分数：</w:t>
      </w:r>
    </w:p>
    <w:p w14:paraId="717BF81C">
      <w:pPr>
        <w:pStyle w:val="16"/>
        <w:keepNext w:val="0"/>
        <w:keepLines w:val="0"/>
        <w:pageBreakBefore w:val="0"/>
        <w:widowControl w:val="0"/>
        <w:tabs>
          <w:tab w:val="left" w:pos="1318"/>
        </w:tabs>
        <w:kinsoku/>
        <w:wordWrap/>
        <w:overflowPunct/>
        <w:topLinePunct w:val="0"/>
        <w:autoSpaceDE w:val="0"/>
        <w:autoSpaceDN w:val="0"/>
        <w:bidi w:val="0"/>
        <w:adjustRightInd/>
        <w:snapToGrid w:val="0"/>
        <w:spacing w:line="560" w:lineRule="exact"/>
        <w:ind w:left="0"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评定分数=报价部分得分+商务部分得分+技术部分得分</w:t>
      </w:r>
    </w:p>
    <w:p w14:paraId="778F0E5B">
      <w:pPr>
        <w:pStyle w:val="16"/>
        <w:keepNext w:val="0"/>
        <w:keepLines w:val="0"/>
        <w:pageBreakBefore w:val="0"/>
        <w:widowControl w:val="0"/>
        <w:tabs>
          <w:tab w:val="left" w:pos="1318"/>
        </w:tabs>
        <w:kinsoku/>
        <w:wordWrap/>
        <w:overflowPunct/>
        <w:topLinePunct w:val="0"/>
        <w:autoSpaceDE w:val="0"/>
        <w:autoSpaceDN w:val="0"/>
        <w:bidi w:val="0"/>
        <w:adjustRightInd/>
        <w:snapToGrid w:val="0"/>
        <w:spacing w:line="560" w:lineRule="exact"/>
        <w:ind w:left="0"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（二）各投标人的最终得分为各评委所评定分数的算术平均值。</w:t>
      </w:r>
    </w:p>
    <w:p w14:paraId="1B074291">
      <w:pPr>
        <w:pStyle w:val="16"/>
        <w:keepNext w:val="0"/>
        <w:keepLines w:val="0"/>
        <w:pageBreakBefore w:val="0"/>
        <w:widowControl w:val="0"/>
        <w:tabs>
          <w:tab w:val="left" w:pos="1318"/>
        </w:tabs>
        <w:kinsoku/>
        <w:wordWrap/>
        <w:overflowPunct/>
        <w:topLinePunct w:val="0"/>
        <w:autoSpaceDE w:val="0"/>
        <w:autoSpaceDN w:val="0"/>
        <w:bidi w:val="0"/>
        <w:adjustRightInd/>
        <w:snapToGrid w:val="0"/>
        <w:spacing w:line="560" w:lineRule="exact"/>
        <w:ind w:left="0"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（三）各项统计、评分结果均按四舍五入方法精确到小数点后两位。</w:t>
      </w:r>
    </w:p>
    <w:p w14:paraId="7B3100D6">
      <w:pPr>
        <w:pStyle w:val="16"/>
        <w:keepNext w:val="0"/>
        <w:keepLines w:val="0"/>
        <w:pageBreakBefore w:val="0"/>
        <w:widowControl w:val="0"/>
        <w:tabs>
          <w:tab w:val="left" w:pos="1318"/>
        </w:tabs>
        <w:kinsoku/>
        <w:wordWrap/>
        <w:overflowPunct/>
        <w:topLinePunct w:val="0"/>
        <w:autoSpaceDE w:val="0"/>
        <w:autoSpaceDN w:val="0"/>
        <w:bidi w:val="0"/>
        <w:adjustRightInd/>
        <w:snapToGrid w:val="0"/>
        <w:spacing w:line="560" w:lineRule="exact"/>
        <w:ind w:left="0"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（四）评标委员会根据投标人的最终得分，按高低次序确定投标人最终的排列名次，并按照招标文件中规定，推荐不超过三名有排序的合格的中标候选人。</w:t>
      </w:r>
    </w:p>
    <w:p w14:paraId="52386735">
      <w:pPr>
        <w:rPr>
          <w:rFonts w:hint="eastAsia" w:ascii="黑体" w:hAnsi="黑体" w:eastAsia="黑体" w:cs="黑体"/>
          <w:b/>
          <w:bCs/>
          <w:color w:val="auto"/>
          <w:sz w:val="28"/>
          <w:szCs w:val="28"/>
          <w:highlight w:val="none"/>
          <w:lang w:val="en-US" w:eastAsia="zh-CN" w:bidi="zh-CN"/>
        </w:rPr>
      </w:pPr>
      <w:bookmarkStart w:id="2" w:name="_Toc14943"/>
      <w:r>
        <w:rPr>
          <w:rFonts w:hint="eastAsia" w:ascii="黑体" w:hAnsi="黑体" w:eastAsia="黑体" w:cs="黑体"/>
          <w:b/>
          <w:bCs/>
          <w:color w:val="auto"/>
          <w:sz w:val="28"/>
          <w:szCs w:val="28"/>
          <w:highlight w:val="none"/>
          <w:lang w:val="en-US" w:eastAsia="zh-CN" w:bidi="zh-CN"/>
        </w:rPr>
        <w:br w:type="page"/>
      </w:r>
    </w:p>
    <w:bookmarkEnd w:id="2"/>
    <w:p w14:paraId="7D20F993">
      <w:pPr>
        <w:pStyle w:val="5"/>
        <w:keepNext w:val="0"/>
        <w:keepLines w:val="0"/>
        <w:pageBreakBefore w:val="0"/>
        <w:widowControl w:val="0"/>
        <w:kinsoku/>
        <w:wordWrap/>
        <w:overflowPunct/>
        <w:topLinePunct w:val="0"/>
        <w:autoSpaceDE/>
        <w:autoSpaceDN/>
        <w:bidi w:val="0"/>
        <w:adjustRightInd/>
        <w:snapToGrid/>
        <w:spacing w:before="0" w:line="560" w:lineRule="exact"/>
        <w:ind w:right="0"/>
        <w:jc w:val="right"/>
        <w:textAlignment w:val="auto"/>
        <w:rPr>
          <w:rFonts w:hint="default" w:ascii="仿宋_GB2312" w:hAnsi="仿宋_GB2312" w:eastAsia="仿宋_GB2312" w:cs="仿宋_GB2312"/>
          <w:kern w:val="2"/>
          <w:sz w:val="32"/>
          <w:szCs w:val="32"/>
          <w:lang w:val="en-US" w:eastAsia="zh-CN" w:bidi="ar-SA"/>
        </w:rPr>
      </w:pPr>
      <w:bookmarkStart w:id="3" w:name="_GoBack"/>
      <w:bookmarkEnd w:id="3"/>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F17673C-B6F1-4725-B569-E6AFD7AF0EE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简体">
    <w:panose1 w:val="02000000000000000000"/>
    <w:charset w:val="86"/>
    <w:family w:val="auto"/>
    <w:pitch w:val="default"/>
    <w:sig w:usb0="00000001" w:usb1="08000000" w:usb2="00000000" w:usb3="00000000" w:csb0="00040000" w:csb1="00000000"/>
    <w:embedRegular r:id="rId2" w:fontKey="{871E101B-328A-4018-ABFD-D826A0FF8279}"/>
  </w:font>
  <w:font w:name="仿宋_GB2312">
    <w:panose1 w:val="02010609030101010101"/>
    <w:charset w:val="86"/>
    <w:family w:val="auto"/>
    <w:pitch w:val="default"/>
    <w:sig w:usb0="00000001" w:usb1="080E0000" w:usb2="00000000" w:usb3="00000000" w:csb0="00040000" w:csb1="00000000"/>
    <w:embedRegular r:id="rId3" w:fontKey="{0A6D4BDC-E637-4D15-8473-B87C6337DAF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ED2B3">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A772DD">
                          <w:pPr>
                            <w:pStyle w:val="6"/>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24</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6DA772DD">
                    <w:pPr>
                      <w:pStyle w:val="6"/>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24</w:t>
                    </w:r>
                    <w:r>
                      <w:rPr>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47DE1"/>
    <w:rsid w:val="034A3564"/>
    <w:rsid w:val="03A569EC"/>
    <w:rsid w:val="04084468"/>
    <w:rsid w:val="097E5D15"/>
    <w:rsid w:val="0B146D07"/>
    <w:rsid w:val="0C71568D"/>
    <w:rsid w:val="0E774ADB"/>
    <w:rsid w:val="1173012A"/>
    <w:rsid w:val="11782338"/>
    <w:rsid w:val="132C67E2"/>
    <w:rsid w:val="13593913"/>
    <w:rsid w:val="13C8206C"/>
    <w:rsid w:val="14027543"/>
    <w:rsid w:val="146124BC"/>
    <w:rsid w:val="15AB1E1B"/>
    <w:rsid w:val="18E2360B"/>
    <w:rsid w:val="1AE7004D"/>
    <w:rsid w:val="1C713EA3"/>
    <w:rsid w:val="1E287502"/>
    <w:rsid w:val="20566C4C"/>
    <w:rsid w:val="22963C78"/>
    <w:rsid w:val="25473DAA"/>
    <w:rsid w:val="26431A21"/>
    <w:rsid w:val="26CA2142"/>
    <w:rsid w:val="270F7B55"/>
    <w:rsid w:val="29C15A7E"/>
    <w:rsid w:val="2AC60E73"/>
    <w:rsid w:val="2B5E554F"/>
    <w:rsid w:val="2B764647"/>
    <w:rsid w:val="2D6A01DB"/>
    <w:rsid w:val="32CF22E4"/>
    <w:rsid w:val="348C4FB3"/>
    <w:rsid w:val="37477C0E"/>
    <w:rsid w:val="3825542A"/>
    <w:rsid w:val="386D6B44"/>
    <w:rsid w:val="38A26A7B"/>
    <w:rsid w:val="39111E53"/>
    <w:rsid w:val="39930ABA"/>
    <w:rsid w:val="3A145757"/>
    <w:rsid w:val="3A4E43A5"/>
    <w:rsid w:val="3BFA6BCE"/>
    <w:rsid w:val="3CDB255C"/>
    <w:rsid w:val="3DC56D68"/>
    <w:rsid w:val="3DD07904"/>
    <w:rsid w:val="3E8C4B3D"/>
    <w:rsid w:val="404843AC"/>
    <w:rsid w:val="40AB0497"/>
    <w:rsid w:val="410F4593"/>
    <w:rsid w:val="426B4382"/>
    <w:rsid w:val="428F2D4C"/>
    <w:rsid w:val="42EA174A"/>
    <w:rsid w:val="443F5AC6"/>
    <w:rsid w:val="45805B9C"/>
    <w:rsid w:val="46737CA9"/>
    <w:rsid w:val="46CB37AF"/>
    <w:rsid w:val="47C03E43"/>
    <w:rsid w:val="49942410"/>
    <w:rsid w:val="4A741032"/>
    <w:rsid w:val="4DA63329"/>
    <w:rsid w:val="4F370019"/>
    <w:rsid w:val="4F744081"/>
    <w:rsid w:val="514C1822"/>
    <w:rsid w:val="52911BE2"/>
    <w:rsid w:val="563E2BBB"/>
    <w:rsid w:val="593C03CE"/>
    <w:rsid w:val="5CAC13C7"/>
    <w:rsid w:val="5CFD1C22"/>
    <w:rsid w:val="5F5D70D4"/>
    <w:rsid w:val="636522D0"/>
    <w:rsid w:val="637746A9"/>
    <w:rsid w:val="69847953"/>
    <w:rsid w:val="6A927EEE"/>
    <w:rsid w:val="6BA52AB2"/>
    <w:rsid w:val="6CCB7647"/>
    <w:rsid w:val="6E5A56CA"/>
    <w:rsid w:val="6FD74384"/>
    <w:rsid w:val="71946BA2"/>
    <w:rsid w:val="75184ADE"/>
    <w:rsid w:val="760A49B4"/>
    <w:rsid w:val="7687144B"/>
    <w:rsid w:val="77324E93"/>
    <w:rsid w:val="777D1E86"/>
    <w:rsid w:val="77ED700C"/>
    <w:rsid w:val="7814538E"/>
    <w:rsid w:val="7CCF74CC"/>
    <w:rsid w:val="7F0E54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1"/>
    <w:pPr>
      <w:spacing w:line="542" w:lineRule="exact"/>
      <w:ind w:right="34"/>
      <w:jc w:val="center"/>
      <w:outlineLvl w:val="0"/>
    </w:pPr>
    <w:rPr>
      <w:rFonts w:ascii="微软雅黑" w:hAnsi="微软雅黑" w:eastAsia="微软雅黑" w:cs="微软雅黑"/>
      <w:b/>
      <w:bCs/>
      <w:sz w:val="32"/>
      <w:szCs w:val="32"/>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rPr>
      <w:rFonts w:ascii="Calibri" w:hAnsi="Calibri"/>
      <w:sz w:val="21"/>
    </w:rPr>
  </w:style>
  <w:style w:type="paragraph" w:styleId="5">
    <w:name w:val="Body Text"/>
    <w:basedOn w:val="1"/>
    <w:qFormat/>
    <w:uiPriority w:val="1"/>
    <w:rPr>
      <w:sz w:val="21"/>
      <w:szCs w:val="21"/>
    </w:rPr>
  </w:style>
  <w:style w:type="paragraph" w:styleId="6">
    <w:name w:val="footer"/>
    <w:basedOn w:val="1"/>
    <w:qFormat/>
    <w:uiPriority w:val="0"/>
    <w:pPr>
      <w:tabs>
        <w:tab w:val="center" w:pos="4153"/>
        <w:tab w:val="right" w:pos="8306"/>
      </w:tabs>
      <w:snapToGrid w:val="0"/>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Body Text 2"/>
    <w:basedOn w:val="1"/>
    <w:qFormat/>
    <w:uiPriority w:val="0"/>
    <w:pPr>
      <w:spacing w:after="120" w:line="480" w:lineRule="auto"/>
    </w:pPr>
  </w:style>
  <w:style w:type="paragraph" w:styleId="9">
    <w:name w:val="Normal (Web)"/>
    <w:basedOn w:val="1"/>
    <w:qFormat/>
    <w:uiPriority w:val="0"/>
    <w:pPr>
      <w:spacing w:before="60" w:after="60"/>
    </w:pPr>
    <w:rPr>
      <w:rFonts w:cs="Times New Roman"/>
      <w:sz w:val="24"/>
      <w:lang w:val="en-US" w:bidi="ar-SA"/>
    </w:rPr>
  </w:style>
  <w:style w:type="paragraph" w:styleId="10">
    <w:name w:val="Body Text First Indent"/>
    <w:basedOn w:val="5"/>
    <w:qFormat/>
    <w:uiPriority w:val="99"/>
    <w:pPr>
      <w:ind w:firstLine="420" w:firstLineChars="100"/>
    </w:pPr>
  </w:style>
  <w:style w:type="character" w:styleId="13">
    <w:name w:val="Strong"/>
    <w:basedOn w:val="12"/>
    <w:qFormat/>
    <w:uiPriority w:val="0"/>
    <w:rPr>
      <w:b/>
    </w:rPr>
  </w:style>
  <w:style w:type="character" w:styleId="14">
    <w:name w:val="page number"/>
    <w:qFormat/>
    <w:uiPriority w:val="99"/>
  </w:style>
  <w:style w:type="paragraph" w:customStyle="1" w:styleId="15">
    <w:name w:val="Table Paragraph"/>
    <w:basedOn w:val="1"/>
    <w:qFormat/>
    <w:uiPriority w:val="1"/>
  </w:style>
  <w:style w:type="paragraph" w:styleId="16">
    <w:name w:val="List Paragraph"/>
    <w:basedOn w:val="1"/>
    <w:qFormat/>
    <w:uiPriority w:val="1"/>
    <w:pPr>
      <w:ind w:left="579" w:firstLine="420"/>
    </w:pPr>
  </w:style>
  <w:style w:type="paragraph" w:customStyle="1" w:styleId="17">
    <w:name w:val="列出段落1"/>
    <w:basedOn w:val="1"/>
    <w:qFormat/>
    <w:uiPriority w:val="0"/>
    <w:pPr>
      <w:ind w:firstLine="420" w:firstLineChars="200"/>
    </w:pPr>
  </w:style>
  <w:style w:type="paragraph" w:customStyle="1" w:styleId="18">
    <w:name w:val="First Paragraph"/>
    <w:basedOn w:val="5"/>
    <w:next w:val="5"/>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8c979b7e-3747-4283-82cb-56d5859962db</errorID>
      <errorWord>菜金</errorWord>
      <group>L1_Word</group>
      <groupName>字词问题</groupName>
      <ability>L2_Typo</ability>
      <abilityName>字词错误</abilityName>
      <candidateList>
        <item>租金</item>
      </candidateList>
      <explain/>
      <paraID>7F3423FC</paraID>
      <start>28</start>
      <end>30</end>
      <status>ignored</status>
      <modifiedWord/>
      <trackRevisions>false</trackRevisions>
    </reviewItem>
    <reviewItem>
      <errorID>fbd157fd-a871-460b-9ea0-e6419a9900a6</errorID>
      <errorWord>）以来</errorWord>
      <group>L1_Grammar</group>
      <groupName>语法问题</groupName>
      <ability>L2_Grammar</ability>
      <abilityName>语法错误</abilityName>
      <candidateList>
        <item>）</item>
      </candidateList>
      <explain/>
      <paraID>7BBA05CE</paraID>
      <start>22</start>
      <end>23</end>
      <status>modified</status>
      <modifiedWord>）</modifiedWord>
      <trackRevisions>false</trackRevisions>
    </reviewItem>
    <reviewItem>
      <errorID>230b50c3-9f7d-4390-bf71-3a7a7784477d</errorID>
      <errorWord>发送到</errorWord>
      <group>L1_Word</group>
      <groupName>字词问题</groupName>
      <ability>L2_Typo</ability>
      <abilityName>字词错误</abilityName>
      <candidateList>
        <item>发送至</item>
      </candidateList>
      <explain>存在字形相近字词的误用。</explain>
      <paraID>3426ADC2</paraID>
      <start>125</start>
      <end>128</end>
      <status>modified</status>
      <modifiedWord>发送至</modifiedWord>
      <trackRevisions>false</trackRevisions>
    </reviewItem>
    <reviewItem>
      <errorID>8b129516-6387-459d-8675-25c5493ed343</errorID>
      <errorWord>挂网</errorWord>
      <group>L1_Word</group>
      <groupName>字词问题</groupName>
      <ability>L2_Typo</ability>
      <abilityName>字词错误</abilityName>
      <candidateList>
        <item>自挂网</item>
      </candidateList>
      <explain/>
      <paraID>5D156FD6</paraID>
      <start>43</start>
      <end>46</end>
      <status>modified</status>
      <modifiedWord>自挂网</modifiedWord>
      <trackRevisions>false</trackRevisions>
    </reviewItem>
    <reviewItem>
      <errorID>52aa8ef2-03aa-4887-aad4-c728ca525f60</errorID>
      <errorWord>时间为止</errorWord>
      <group>L1_Grammar</group>
      <groupName>语法问题</groupName>
      <ability>L2_Grammar</ability>
      <abilityName>语法错误</abilityName>
      <candidateList>
        <item>时间</item>
      </candidateList>
      <explain/>
      <paraID>5D156FD6</paraID>
      <start>54</start>
      <end>56</end>
      <status>modified</status>
      <modifiedWord>时间</modifiedWord>
      <trackRevisions>false</trackRevisions>
    </reviewItem>
    <reviewItem>
      <errorID>9f6ea97d-a595-499b-945b-b4c32a409646</errorID>
      <errorWord>没</errorWord>
      <group>L1_Word</group>
      <groupName>字词问题</groupName>
      <ability>L2_Typo</ability>
      <abilityName>字词错误</abilityName>
      <candidateList>
        <item>没有</item>
      </candidateList>
      <explain/>
      <paraID>24A4AAC7</paraID>
      <start>94</start>
      <end>95</end>
      <status>ignored</status>
      <modifiedWord/>
      <trackRevisions>false</trackRevisions>
    </reviewItem>
    <reviewItem>
      <errorID>70e1067c-321d-40cb-b23d-ec77675f5684</errorID>
      <errorWord>认为</errorWord>
      <group>L1_Grammar</group>
      <groupName>语法问题</groupName>
      <ability>L2_Grammar</ability>
      <abilityName>语法错误</abilityName>
      <candidateList>
        <item>被认定为</item>
      </candidateList>
      <explain/>
      <paraID>24A4AAC7</paraID>
      <start>115</start>
      <end>119</end>
      <status>modified</status>
      <modifiedWord>被认定为</modifiedWord>
      <trackRevisions>false</trackRevisions>
    </reviewItem>
    <reviewItem>
      <errorID>736ffee2-4522-4d71-9344-43a7c08940fd</errorID>
      <errorWord>投标</errorWord>
      <group>L1_Punc</group>
      <groupName>标点问题</groupName>
      <ability>L2_Punc_CN</ability>
      <abilityName>标点符号问题</abilityName>
      <candidateList>
        <item>：投标</item>
      </candidateList>
      <explain/>
      <paraID>4BA9C3C6</paraID>
      <start>12</start>
      <end>14</end>
      <status>ignored</status>
      <modifiedWord/>
      <trackRevisions>false</trackRevisions>
    </reviewItem>
    <reviewItem>
      <errorID>986a548f-b1e3-4799-bcbc-f0ec48e739aa</errorID>
      <errorWord>：</errorWord>
      <group>L1_Punc</group>
      <groupName>标点问题</groupName>
      <ability>L2_Punc_CN</ability>
      <abilityName>标点符号问题</abilityName>
      <candidateList>
        <item/>
      </candidateList>
      <explain/>
      <paraID>4BA9C3C6</paraID>
      <start>20</start>
      <end>21</end>
      <status>ignored</status>
      <modifiedWord/>
      <trackRevisions>false</trackRevisions>
    </reviewItem>
    <reviewItem>
      <errorID>748cadb0-248c-4e4a-8065-846a161cd518</errorID>
      <errorWord>完全清晰地</errorWord>
      <group>L1_Grammar</group>
      <groupName>语法问题</groupName>
      <ability>L2_Grammar</ability>
      <abilityName>语法错误</abilityName>
      <candidateList>
        <item>完全</item>
      </candidateList>
      <explain/>
      <paraID>21D1226C</paraID>
      <start>62</start>
      <end>67</end>
      <status>ignored</status>
      <modifiedWord/>
      <trackRevisions>false</trackRevisions>
    </reviewItem>
    <reviewItem>
      <errorID>88dfe83e-7d98-4668-b55e-db514af3d39e</errorID>
      <errorWord>中标通知书和本投标文件</errorWord>
      <group>L1_Word</group>
      <groupName>字词问题</groupName>
      <ability>L2_Typo</ability>
      <abilityName>字词错误</abilityName>
      <candidateList>
        <item>本投标文件和中标通知书</item>
      </candidateList>
      <explain/>
      <paraID>7E91C0AD</paraID>
      <start>10</start>
      <end>21</end>
      <status>ignored</status>
      <modifiedWord/>
      <trackRevisions>false</trackRevisions>
    </reviewItem>
    <reviewItem>
      <errorID>e98a99eb-2a82-4a97-a9b7-2ba706525b4d</errorID>
      <errorWord>均</errorWord>
      <group>L1_Punc</group>
      <groupName>标点问题</groupName>
      <ability>L2_Punc_CN</ability>
      <abilityName>标点符号问题</abilityName>
      <candidateList>
        <item>，均</item>
      </candidateList>
      <explain/>
      <paraID>5B8BAFCB</paraID>
      <start>30</start>
      <end>32</end>
      <status>modified</status>
      <modifiedWord>，均</modifiedWord>
      <trackRevisions>false</trackRevisions>
    </reviewItem>
    <reviewItem>
      <errorID>309d32c1-69e2-4e25-b33b-ce99505b8231</errorID>
      <errorWord>    为我方正式合法代理人，参加</errorWord>
      <group>L1_Word</group>
      <groupName>字词问题</groupName>
      <ability>L2_Typo</ability>
      <abilityName>字词错误</abilityName>
      <candidateList>
        <item>  为我方正式合法代理人，参加  </item>
      </candidateList>
      <explain/>
      <paraID> FA5E23D</paraID>
      <start>55</start>
      <end>72</end>
      <status>ignored</status>
      <modifiedWord/>
      <trackRevisions>false</trackRevisions>
    </reviewItem>
    <reviewItem>
      <errorID>0ca7fc35-68d1-4054-8ae9-7c51483f4ec8</errorID>
      <errorWord>，</errorWord>
      <group>L1_Word</group>
      <groupName>字词问题</groupName>
      <ability>L2_Typo</ability>
      <abilityName>字词错误</abilityName>
      <candidateList>
        <item>，并</item>
      </candidateList>
      <explain/>
      <paraID> 52CF268</paraID>
      <start>52</start>
      <end>54</end>
      <status>modified</status>
      <modifiedWord>，并</modifiedWord>
      <trackRevisions>false</trackRevisions>
    </reviewItem>
    <reviewItem>
      <errorID>502d2dfa-e7fd-4a92-9fe2-7446a567b918</errorID>
      <errorWord>:</errorWord>
      <group>L1_Format</group>
      <groupName>格式问题</groupName>
      <ability>L2_HalfPunc_CN</ability>
      <abilityName>全半角问题</abilityName>
      <candidateList>
        <item>：</item>
      </candidateList>
      <explain>文本全半角错误。</explain>
      <paraID>47DFF38A</paraID>
      <start>9</start>
      <end>10</end>
      <status>modified</status>
      <modifiedWord>：</modifiedWord>
      <trackRevisions>false</trackRevisions>
    </reviewItem>
    <reviewItem>
      <errorID>c5beebed-7fb4-4577-9f80-d4b3a2ac8129</errorID>
      <errorWord>:</errorWord>
      <group>L1_Format</group>
      <groupName>格式问题</groupName>
      <ability>L2_HalfPunc_CN</ability>
      <abilityName>全半角问题</abilityName>
      <candidateList>
        <item>：</item>
      </candidateList>
      <explain>文本全半角错误。</explain>
      <paraID>7A477835</paraID>
      <start>15</start>
      <end>16</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0b50078-b357-43fb-8656-fe27e280f4b5}">
  <ds:schemaRefs/>
</ds:datastoreItem>
</file>

<file path=docProps/app.xml><?xml version="1.0" encoding="utf-8"?>
<Properties xmlns="http://schemas.openxmlformats.org/officeDocument/2006/extended-properties" xmlns:vt="http://schemas.openxmlformats.org/officeDocument/2006/docPropsVTypes">
  <Template>Normal.dotm</Template>
  <Pages>6</Pages>
  <Words>5543</Words>
  <Characters>5783</Characters>
  <Lines>0</Lines>
  <Paragraphs>0</Paragraphs>
  <TotalTime>12</TotalTime>
  <ScaleCrop>false</ScaleCrop>
  <LinksUpToDate>false</LinksUpToDate>
  <CharactersWithSpaces>6175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2026-07-31T00:43:00Z</dcterms:created>
  <dc:creator>Administrator</dc:creator>
  <cp:lastModifiedBy>L~文亭</cp:lastModifiedBy>
  <cp:lastPrinted>2026-08-25T07:41:00Z</cp:lastPrinted>
  <dcterms:modified xsi:type="dcterms:W3CDTF">2026-08-25T08:06:20Z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eyJoZGlkIjoiNTJjMjYwOGM1Y2JkNWNkMjg5NDU1Njc1MGJkYjA0ODciLCJ1c2VySWQiOiIxMjkyNjc4NTYxIn0=</vt:lpwstr>
  </property>
  <property fmtid="{D5CDD505-2E9C-101B-9397-08002B2CF9AE}" pid="4" name="ICV">
    <vt:lpwstr>53E52F7C8E494FE0A46F6010776FD764_13</vt:lpwstr>
  </property>
</Properties>
</file>