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2818E">
      <w:pPr>
        <w:pStyle w:val="5"/>
        <w:tabs>
          <w:tab w:val="left" w:pos="1286"/>
        </w:tabs>
        <w:snapToGrid w:val="0"/>
        <w:spacing w:before="21" w:line="240" w:lineRule="auto"/>
        <w:ind w:firstLine="280" w:firstLineChars="100"/>
        <w:jc w:val="left"/>
        <w:textAlignment w:val="baseline"/>
        <w:rPr>
          <w:rFonts w:hint="default" w:ascii="黑体" w:hAnsi="黑体" w:eastAsia="黑体" w:cs="黑体"/>
          <w:b w:val="0"/>
          <w:bCs w:val="0"/>
          <w:color w:val="auto"/>
          <w:kern w:val="2"/>
          <w:sz w:val="28"/>
          <w:szCs w:val="28"/>
          <w:highlight w:val="none"/>
          <w:lang w:val="en-US" w:eastAsia="zh-CN" w:bidi="zh-CN"/>
        </w:rPr>
      </w:pPr>
      <w:r>
        <w:rPr>
          <w:rFonts w:hint="eastAsia" w:ascii="黑体" w:hAnsi="黑体" w:eastAsia="黑体" w:cs="黑体"/>
          <w:b w:val="0"/>
          <w:bCs w:val="0"/>
          <w:color w:val="auto"/>
          <w:kern w:val="2"/>
          <w:sz w:val="28"/>
          <w:szCs w:val="28"/>
          <w:highlight w:val="none"/>
          <w:lang w:val="en-US" w:eastAsia="zh-CN" w:bidi="zh-CN"/>
        </w:rPr>
        <w:t>附件2</w:t>
      </w:r>
    </w:p>
    <w:p w14:paraId="541FBEE2">
      <w:pPr>
        <w:pStyle w:val="5"/>
        <w:tabs>
          <w:tab w:val="left" w:pos="1286"/>
        </w:tabs>
        <w:snapToGrid w:val="0"/>
        <w:spacing w:before="21" w:line="240" w:lineRule="auto"/>
        <w:textAlignment w:val="baseline"/>
        <w:rPr>
          <w:rFonts w:hint="eastAsia" w:ascii="方正小标宋简体" w:hAnsi="方正小标宋简体" w:eastAsia="方正小标宋简体" w:cs="方正小标宋简体"/>
          <w:b w:val="0"/>
          <w:bCs w:val="0"/>
          <w:color w:val="auto"/>
          <w:sz w:val="44"/>
          <w:szCs w:val="44"/>
          <w:highlight w:val="red"/>
          <w:lang w:val="en-US"/>
        </w:rPr>
      </w:pPr>
      <w:r>
        <w:rPr>
          <w:rFonts w:hint="eastAsia" w:ascii="方正小标宋简体" w:hAnsi="方正小标宋简体" w:eastAsia="方正小标宋简体" w:cs="方正小标宋简体"/>
          <w:b w:val="0"/>
          <w:bCs w:val="0"/>
          <w:color w:val="auto"/>
          <w:sz w:val="44"/>
          <w:szCs w:val="44"/>
          <w:highlight w:val="none"/>
        </w:rPr>
        <w:t>评标办法</w:t>
      </w:r>
      <w:bookmarkStart w:id="0" w:name="_Toc11870"/>
    </w:p>
    <w:p w14:paraId="53C1E5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rPr>
      </w:pPr>
      <w:r>
        <w:rPr>
          <w:rFonts w:hint="eastAsia" w:ascii="黑体" w:hAnsi="黑体" w:eastAsia="黑体" w:cs="黑体"/>
          <w:b w:val="0"/>
          <w:bCs/>
          <w:color w:val="auto"/>
          <w:sz w:val="32"/>
          <w:szCs w:val="32"/>
          <w:highlight w:val="none"/>
          <w:lang w:val="en-US" w:eastAsia="zh-CN"/>
        </w:rPr>
        <w:t>一、</w:t>
      </w:r>
      <w:r>
        <w:rPr>
          <w:rFonts w:hint="eastAsia" w:ascii="黑体" w:hAnsi="黑体" w:eastAsia="黑体" w:cs="黑体"/>
          <w:b w:val="0"/>
          <w:bCs/>
          <w:color w:val="auto"/>
          <w:sz w:val="32"/>
          <w:szCs w:val="32"/>
          <w:highlight w:val="none"/>
          <w:lang w:val="en-US"/>
        </w:rPr>
        <w:t>资格评审标准</w:t>
      </w:r>
      <w:bookmarkEnd w:id="0"/>
    </w:p>
    <w:p w14:paraId="24A4AAC7">
      <w:pPr>
        <w:pStyle w:val="3"/>
        <w:keepNext w:val="0"/>
        <w:keepLines w:val="0"/>
        <w:pageBreakBefore w:val="0"/>
        <w:widowControl w:val="0"/>
        <w:kinsoku/>
        <w:wordWrap/>
        <w:overflowPunct/>
        <w:topLinePunct w:val="0"/>
        <w:autoSpaceDE/>
        <w:autoSpaceDN/>
        <w:bidi w:val="0"/>
        <w:adjustRightInd/>
        <w:snapToGrid w:val="0"/>
        <w:spacing w:line="560" w:lineRule="exact"/>
        <w:ind w:firstLine="608"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8"/>
          <w:sz w:val="32"/>
          <w:szCs w:val="32"/>
          <w:highlight w:val="none"/>
        </w:rPr>
        <w:t>本项目采取资格后审合格/不合格制</w:t>
      </w:r>
      <w:r>
        <w:rPr>
          <w:rFonts w:hint="eastAsia" w:ascii="仿宋_GB2312" w:hAnsi="仿宋_GB2312" w:eastAsia="仿宋_GB2312" w:cs="仿宋_GB2312"/>
          <w:color w:val="auto"/>
          <w:sz w:val="32"/>
          <w:szCs w:val="32"/>
          <w:highlight w:val="none"/>
        </w:rPr>
        <w:t>。投标人提供的全部资料必须准确详细，以便本项目评标委员会做到正确判断。资格后审将完全依据投标人提供的资料，或者按评委要求对所投标文件的澄清材料</w:t>
      </w:r>
      <w:r>
        <w:rPr>
          <w:rFonts w:hint="eastAsia" w:ascii="仿宋_GB2312" w:hAnsi="仿宋_GB2312" w:eastAsia="仿宋_GB2312" w:cs="仿宋_GB2312"/>
          <w:color w:val="auto"/>
          <w:sz w:val="32"/>
          <w:szCs w:val="32"/>
          <w:highlight w:val="none"/>
          <w:lang w:eastAsia="zh-CN"/>
        </w:rPr>
        <w:t>进行审查。</w:t>
      </w:r>
      <w:r>
        <w:rPr>
          <w:rFonts w:hint="eastAsia" w:ascii="仿宋_GB2312" w:hAnsi="仿宋_GB2312" w:eastAsia="仿宋_GB2312" w:cs="仿宋_GB2312"/>
          <w:color w:val="auto"/>
          <w:sz w:val="32"/>
          <w:szCs w:val="32"/>
          <w:highlight w:val="none"/>
        </w:rPr>
        <w:t>如果没按要求在投标文件中提供具体材料，如有一项</w:t>
      </w:r>
      <w:r>
        <w:rPr>
          <w:rFonts w:hint="eastAsia" w:ascii="仿宋_GB2312" w:hAnsi="仿宋_GB2312" w:eastAsia="仿宋_GB2312" w:cs="仿宋_GB2312"/>
          <w:color w:val="auto"/>
          <w:sz w:val="32"/>
          <w:szCs w:val="32"/>
          <w:highlight w:val="none"/>
          <w:lang w:eastAsia="zh-CN"/>
        </w:rPr>
        <w:t>被认定为</w:t>
      </w:r>
      <w:r>
        <w:rPr>
          <w:rFonts w:hint="eastAsia" w:ascii="仿宋_GB2312" w:hAnsi="仿宋_GB2312" w:eastAsia="仿宋_GB2312" w:cs="仿宋_GB2312"/>
          <w:color w:val="auto"/>
          <w:sz w:val="32"/>
          <w:szCs w:val="32"/>
          <w:highlight w:val="none"/>
        </w:rPr>
        <w:t>不合格，报评标委员会审定后，可直接判定投标人资格不合格，其投标文件不予评审。</w:t>
      </w:r>
    </w:p>
    <w:p w14:paraId="7367CADC">
      <w:pPr>
        <w:snapToGrid w:val="0"/>
        <w:spacing w:line="460" w:lineRule="exact"/>
        <w:ind w:firstLine="640" w:firstLineChars="200"/>
        <w:jc w:val="both"/>
        <w:textAlignment w:val="baseline"/>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资格后审合格条件标准</w:t>
      </w:r>
    </w:p>
    <w:tbl>
      <w:tblPr>
        <w:tblStyle w:val="8"/>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0"/>
        <w:gridCol w:w="7340"/>
        <w:gridCol w:w="1140"/>
      </w:tblGrid>
      <w:tr w14:paraId="6B60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7" w:hRule="atLeast"/>
          <w:jc w:val="center"/>
        </w:trPr>
        <w:tc>
          <w:tcPr>
            <w:tcW w:w="9300" w:type="dxa"/>
            <w:gridSpan w:val="3"/>
            <w:vAlign w:val="center"/>
          </w:tcPr>
          <w:p w14:paraId="0A6BC733">
            <w:pPr>
              <w:pStyle w:val="10"/>
              <w:snapToGrid w:val="0"/>
              <w:spacing w:line="460" w:lineRule="exact"/>
              <w:ind w:firstLine="562" w:firstLineChars="2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一、资格审查</w:t>
            </w:r>
          </w:p>
        </w:tc>
      </w:tr>
      <w:tr w14:paraId="55D3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 w:hRule="atLeast"/>
          <w:jc w:val="center"/>
        </w:trPr>
        <w:tc>
          <w:tcPr>
            <w:tcW w:w="820" w:type="dxa"/>
            <w:vAlign w:val="center"/>
          </w:tcPr>
          <w:p w14:paraId="03CF3651">
            <w:pPr>
              <w:pStyle w:val="10"/>
              <w:snapToGrid w:val="0"/>
              <w:spacing w:line="460" w:lineRule="exact"/>
              <w:jc w:val="center"/>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序号</w:t>
            </w:r>
          </w:p>
        </w:tc>
        <w:tc>
          <w:tcPr>
            <w:tcW w:w="7340" w:type="dxa"/>
            <w:vAlign w:val="center"/>
          </w:tcPr>
          <w:p w14:paraId="428E26C8">
            <w:pPr>
              <w:pStyle w:val="10"/>
              <w:snapToGrid w:val="0"/>
              <w:spacing w:line="460" w:lineRule="exact"/>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招标文件要求</w:t>
            </w:r>
          </w:p>
        </w:tc>
        <w:tc>
          <w:tcPr>
            <w:tcW w:w="1140" w:type="dxa"/>
            <w:vAlign w:val="center"/>
          </w:tcPr>
          <w:p w14:paraId="515DBA3F">
            <w:pPr>
              <w:pStyle w:val="10"/>
              <w:snapToGrid w:val="0"/>
              <w:spacing w:line="460" w:lineRule="exact"/>
              <w:ind w:firstLine="281" w:firstLineChars="100"/>
              <w:jc w:val="both"/>
              <w:textAlignment w:val="baseline"/>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说明</w:t>
            </w:r>
          </w:p>
        </w:tc>
      </w:tr>
      <w:tr w14:paraId="3937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6" w:hRule="atLeast"/>
          <w:jc w:val="center"/>
        </w:trPr>
        <w:tc>
          <w:tcPr>
            <w:tcW w:w="820" w:type="dxa"/>
            <w:vAlign w:val="center"/>
          </w:tcPr>
          <w:p w14:paraId="231BEF6C">
            <w:pPr>
              <w:pStyle w:val="10"/>
              <w:snapToGrid w:val="0"/>
              <w:spacing w:line="460" w:lineRule="exact"/>
              <w:jc w:val="center"/>
              <w:textAlignment w:val="baseline"/>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p>
        </w:tc>
        <w:tc>
          <w:tcPr>
            <w:tcW w:w="7340" w:type="dxa"/>
          </w:tcPr>
          <w:p w14:paraId="2E1280D0">
            <w:pPr>
              <w:pStyle w:val="11"/>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宋体" w:hAnsi="宋体" w:eastAsia="宋体" w:cs="宋体"/>
                <w:color w:val="auto"/>
                <w:sz w:val="28"/>
                <w:szCs w:val="28"/>
                <w:highlight w:val="none"/>
                <w:u w:val="none"/>
                <w:lang w:eastAsia="zh-CN"/>
              </w:rPr>
            </w:pPr>
            <w:r>
              <w:rPr>
                <w:rFonts w:hint="eastAsia" w:ascii="宋体" w:hAnsi="宋体" w:eastAsia="宋体" w:cs="宋体"/>
                <w:b/>
                <w:bCs/>
                <w:color w:val="auto"/>
                <w:sz w:val="28"/>
                <w:szCs w:val="28"/>
                <w:highlight w:val="none"/>
                <w:u w:val="none"/>
                <w:lang w:val="en-US" w:eastAsia="zh-CN" w:bidi="zh-CN"/>
              </w:rPr>
              <w:t>主体资质：</w:t>
            </w:r>
            <w:r>
              <w:rPr>
                <w:rFonts w:hint="eastAsia" w:ascii="仿宋_GB2312" w:hAnsi="仿宋_GB2312" w:eastAsia="仿宋_GB2312" w:cs="仿宋_GB2312"/>
                <w:color w:val="auto"/>
                <w:sz w:val="28"/>
                <w:szCs w:val="28"/>
                <w:highlight w:val="none"/>
                <w:u w:val="none"/>
                <w:lang w:val="en-US" w:eastAsia="zh-CN" w:bidi="zh-CN"/>
              </w:rPr>
              <w:t>投标人必须是在中华人民共和国境内注册，具有独立法人资格的合法企业，能独立承担民事责任，具备有效的公司营业执照和有效的行政主管部门颁发的《餐饮服务许可证》或《食品经营许可证》。</w:t>
            </w:r>
          </w:p>
        </w:tc>
        <w:tc>
          <w:tcPr>
            <w:tcW w:w="1140" w:type="dxa"/>
            <w:vMerge w:val="restart"/>
            <w:vAlign w:val="center"/>
          </w:tcPr>
          <w:p w14:paraId="2B4BC41E">
            <w:pPr>
              <w:pStyle w:val="10"/>
              <w:keepNext w:val="0"/>
              <w:keepLines w:val="0"/>
              <w:pageBreakBefore w:val="0"/>
              <w:widowControl w:val="0"/>
              <w:kinsoku/>
              <w:wordWrap/>
              <w:overflowPunct/>
              <w:topLinePunct w:val="0"/>
              <w:autoSpaceDE w:val="0"/>
              <w:autoSpaceDN w:val="0"/>
              <w:bidi w:val="0"/>
              <w:adjustRightInd/>
              <w:snapToGrid w:val="0"/>
              <w:spacing w:line="400" w:lineRule="exact"/>
              <w:jc w:val="both"/>
              <w:textAlignment w:val="baseline"/>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u w:val="none"/>
                <w:lang w:val="en-US" w:eastAsia="zh-CN" w:bidi="zh-CN"/>
              </w:rPr>
              <w:t>提供扫描件，凡有一条不符合招标要求的，其投标文件将被否决。</w:t>
            </w:r>
          </w:p>
          <w:p w14:paraId="6E772717">
            <w:pPr>
              <w:pStyle w:val="10"/>
              <w:keepNext w:val="0"/>
              <w:keepLines w:val="0"/>
              <w:pageBreakBefore w:val="0"/>
              <w:widowControl w:val="0"/>
              <w:kinsoku/>
              <w:wordWrap/>
              <w:overflowPunct/>
              <w:topLinePunct w:val="0"/>
              <w:bidi w:val="0"/>
              <w:adjustRightInd/>
              <w:snapToGrid w:val="0"/>
              <w:spacing w:line="400" w:lineRule="exact"/>
              <w:ind w:firstLine="560" w:firstLineChars="200"/>
              <w:jc w:val="both"/>
              <w:textAlignment w:val="baseline"/>
              <w:rPr>
                <w:rFonts w:hint="eastAsia" w:ascii="宋体" w:hAnsi="宋体" w:eastAsia="宋体" w:cs="宋体"/>
                <w:color w:val="auto"/>
                <w:sz w:val="28"/>
                <w:szCs w:val="28"/>
                <w:highlight w:val="none"/>
              </w:rPr>
            </w:pPr>
          </w:p>
        </w:tc>
      </w:tr>
      <w:tr w14:paraId="6638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820" w:type="dxa"/>
            <w:vAlign w:val="center"/>
          </w:tcPr>
          <w:p w14:paraId="0477970E">
            <w:pPr>
              <w:pStyle w:val="10"/>
              <w:snapToGrid w:val="0"/>
              <w:spacing w:line="460" w:lineRule="exact"/>
              <w:jc w:val="center"/>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w:t>
            </w:r>
          </w:p>
        </w:tc>
        <w:tc>
          <w:tcPr>
            <w:tcW w:w="7340" w:type="dxa"/>
          </w:tcPr>
          <w:p w14:paraId="18653FC2">
            <w:pPr>
              <w:pStyle w:val="11"/>
              <w:keepNext w:val="0"/>
              <w:keepLines w:val="0"/>
              <w:pageBreakBefore w:val="0"/>
              <w:widowControl w:val="0"/>
              <w:kinsoku/>
              <w:wordWrap/>
              <w:overflowPunct/>
              <w:topLinePunct w:val="0"/>
              <w:autoSpaceDE w:val="0"/>
              <w:autoSpaceDN w:val="0"/>
              <w:bidi w:val="0"/>
              <w:adjustRightInd/>
              <w:snapToGrid w:val="0"/>
              <w:spacing w:line="400" w:lineRule="exact"/>
              <w:ind w:left="0" w:firstLine="0"/>
              <w:jc w:val="both"/>
              <w:textAlignment w:val="baseline"/>
              <w:rPr>
                <w:rFonts w:hint="eastAsia" w:ascii="宋体" w:hAnsi="宋体" w:eastAsia="宋体" w:cs="宋体"/>
                <w:color w:val="auto"/>
                <w:sz w:val="28"/>
                <w:szCs w:val="28"/>
                <w:highlight w:val="none"/>
                <w:u w:val="none"/>
                <w:lang w:val="en-US" w:eastAsia="zh-CN" w:bidi="zh-CN"/>
              </w:rPr>
            </w:pPr>
            <w:r>
              <w:rPr>
                <w:rFonts w:hint="eastAsia" w:ascii="宋体" w:hAnsi="宋体" w:eastAsia="宋体" w:cs="宋体"/>
                <w:b/>
                <w:bCs/>
                <w:color w:val="auto"/>
                <w:sz w:val="28"/>
                <w:szCs w:val="28"/>
                <w:highlight w:val="none"/>
                <w:u w:val="none"/>
                <w:lang w:val="en-US" w:eastAsia="zh-CN" w:bidi="zh-CN"/>
              </w:rPr>
              <w:t>企业业绩：</w:t>
            </w:r>
            <w:r>
              <w:rPr>
                <w:rFonts w:hint="eastAsia" w:ascii="仿宋_GB2312" w:hAnsi="仿宋_GB2312" w:eastAsia="仿宋_GB2312" w:cs="仿宋_GB2312"/>
                <w:color w:val="auto"/>
                <w:sz w:val="28"/>
                <w:szCs w:val="28"/>
                <w:highlight w:val="none"/>
                <w:u w:val="none"/>
                <w:lang w:val="en-US" w:eastAsia="zh-CN" w:bidi="zh-CN"/>
              </w:rPr>
              <w:t>供应商近三年（2023年8月至投标截止日）承担过一项类似项目业绩（供应商需提供合同复印件并加盖公章）。</w:t>
            </w:r>
          </w:p>
        </w:tc>
        <w:tc>
          <w:tcPr>
            <w:tcW w:w="1140" w:type="dxa"/>
            <w:vMerge w:val="continue"/>
          </w:tcPr>
          <w:p w14:paraId="585685FF">
            <w:pPr>
              <w:pStyle w:val="10"/>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r w14:paraId="6C9B8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820" w:type="dxa"/>
            <w:vAlign w:val="center"/>
          </w:tcPr>
          <w:p w14:paraId="15159265">
            <w:pPr>
              <w:pStyle w:val="10"/>
              <w:snapToGrid w:val="0"/>
              <w:spacing w:line="460" w:lineRule="exact"/>
              <w:jc w:val="center"/>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p>
        </w:tc>
        <w:tc>
          <w:tcPr>
            <w:tcW w:w="7340" w:type="dxa"/>
          </w:tcPr>
          <w:p w14:paraId="0626A806">
            <w:pPr>
              <w:pStyle w:val="11"/>
              <w:keepNext w:val="0"/>
              <w:keepLines w:val="0"/>
              <w:pageBreakBefore w:val="0"/>
              <w:widowControl w:val="0"/>
              <w:numPr>
                <w:ilvl w:val="0"/>
                <w:numId w:val="0"/>
              </w:numPr>
              <w:kinsoku/>
              <w:wordWrap/>
              <w:overflowPunct/>
              <w:topLinePunct w:val="0"/>
              <w:autoSpaceDE w:val="0"/>
              <w:autoSpaceDN w:val="0"/>
              <w:bidi w:val="0"/>
              <w:adjustRightInd/>
              <w:snapToGrid w:val="0"/>
              <w:spacing w:line="400" w:lineRule="exact"/>
              <w:ind w:leftChars="0"/>
              <w:jc w:val="both"/>
              <w:textAlignment w:val="baseline"/>
              <w:rPr>
                <w:rFonts w:hint="eastAsia" w:ascii="仿宋_GB2312" w:hAnsi="仿宋_GB2312" w:eastAsia="仿宋_GB2312" w:cs="仿宋_GB2312"/>
                <w:color w:val="auto"/>
                <w:kern w:val="2"/>
                <w:sz w:val="28"/>
                <w:szCs w:val="28"/>
                <w:highlight w:val="none"/>
                <w:u w:val="none"/>
                <w:lang w:val="en-US" w:eastAsia="zh-CN" w:bidi="zh-CN"/>
              </w:rPr>
            </w:pPr>
            <w:r>
              <w:rPr>
                <w:rFonts w:hint="eastAsia" w:ascii="宋体" w:hAnsi="宋体" w:eastAsia="宋体" w:cs="宋体"/>
                <w:b/>
                <w:bCs/>
                <w:color w:val="auto"/>
                <w:kern w:val="2"/>
                <w:sz w:val="28"/>
                <w:szCs w:val="28"/>
                <w:highlight w:val="none"/>
                <w:u w:val="none"/>
                <w:lang w:val="en-US" w:eastAsia="zh-CN" w:bidi="zh-CN"/>
              </w:rPr>
              <w:t>其他要求</w:t>
            </w:r>
            <w:r>
              <w:rPr>
                <w:rFonts w:hint="eastAsia" w:ascii="宋体" w:hAnsi="宋体" w:eastAsia="宋体" w:cs="宋体"/>
                <w:b/>
                <w:bCs/>
                <w:color w:val="auto"/>
                <w:sz w:val="28"/>
                <w:szCs w:val="28"/>
                <w:highlight w:val="none"/>
                <w:u w:val="none"/>
                <w:lang w:val="en-US" w:eastAsia="zh-CN" w:bidi="zh-CN"/>
              </w:rPr>
              <w:t>：</w:t>
            </w:r>
          </w:p>
          <w:p w14:paraId="780487D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（1）投标人需提供近三年无重大违法记录声明，且近3年未被列入失信被执行人、重大税收违法案件当事人名单、采购严重违法失信行为记录名单，信用信息的查询渠道为“信用中国”网站（www.creditchina.gov.cn）。</w:t>
            </w:r>
          </w:p>
          <w:p w14:paraId="4BB5EAB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（2）投标人必须在“中国裁判文书网”查询本单位及法定代表人近三年（查询时间段2023年8月至投标截止日）是否有行贿犯罪记录并提供截图，未提供的或有行贿犯罪记录的投标无效，取消其投标资格。</w:t>
            </w:r>
          </w:p>
          <w:p w14:paraId="6F3E26D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（3）是否接受联合体投标：否。</w:t>
            </w:r>
          </w:p>
        </w:tc>
        <w:tc>
          <w:tcPr>
            <w:tcW w:w="1140" w:type="dxa"/>
            <w:vMerge w:val="continue"/>
          </w:tcPr>
          <w:p w14:paraId="3943DDA5">
            <w:pPr>
              <w:pStyle w:val="10"/>
              <w:keepNext w:val="0"/>
              <w:keepLines w:val="0"/>
              <w:pageBreakBefore w:val="0"/>
              <w:widowControl w:val="0"/>
              <w:kinsoku/>
              <w:wordWrap/>
              <w:overflowPunct/>
              <w:topLinePunct w:val="0"/>
              <w:bidi w:val="0"/>
              <w:adjustRightInd/>
              <w:snapToGrid w:val="0"/>
              <w:spacing w:line="400" w:lineRule="exact"/>
              <w:ind w:firstLine="562" w:firstLineChars="200"/>
              <w:jc w:val="both"/>
              <w:textAlignment w:val="baseline"/>
              <w:rPr>
                <w:rFonts w:hint="eastAsia" w:ascii="宋体" w:hAnsi="宋体" w:eastAsia="宋体" w:cs="宋体"/>
                <w:b/>
                <w:color w:val="auto"/>
                <w:sz w:val="28"/>
                <w:szCs w:val="28"/>
                <w:highlight w:val="none"/>
              </w:rPr>
            </w:pPr>
          </w:p>
        </w:tc>
      </w:tr>
      <w:tr w14:paraId="5756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jc w:val="center"/>
        </w:trPr>
        <w:tc>
          <w:tcPr>
            <w:tcW w:w="820" w:type="dxa"/>
            <w:vAlign w:val="center"/>
          </w:tcPr>
          <w:p w14:paraId="1A0ED316">
            <w:pPr>
              <w:pStyle w:val="10"/>
              <w:snapToGrid w:val="0"/>
              <w:spacing w:line="460" w:lineRule="exact"/>
              <w:jc w:val="center"/>
              <w:textAlignment w:val="baseline"/>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p>
        </w:tc>
        <w:tc>
          <w:tcPr>
            <w:tcW w:w="7340" w:type="dxa"/>
            <w:vAlign w:val="center"/>
          </w:tcPr>
          <w:p w14:paraId="3A878862">
            <w:pPr>
              <w:pStyle w:val="10"/>
              <w:keepNext w:val="0"/>
              <w:keepLines w:val="0"/>
              <w:pageBreakBefore w:val="0"/>
              <w:widowControl w:val="0"/>
              <w:kinsoku/>
              <w:wordWrap/>
              <w:overflowPunct/>
              <w:topLinePunct w:val="0"/>
              <w:autoSpaceDE w:val="0"/>
              <w:autoSpaceDN w:val="0"/>
              <w:bidi w:val="0"/>
              <w:adjustRightInd/>
              <w:snapToGrid w:val="0"/>
              <w:spacing w:line="400" w:lineRule="exact"/>
              <w:jc w:val="both"/>
              <w:textAlignment w:val="baseline"/>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是否有招标人不能接受的其他条款</w:t>
            </w:r>
          </w:p>
        </w:tc>
        <w:tc>
          <w:tcPr>
            <w:tcW w:w="1140" w:type="dxa"/>
          </w:tcPr>
          <w:p w14:paraId="2459FF53">
            <w:pPr>
              <w:pStyle w:val="10"/>
              <w:snapToGrid w:val="0"/>
              <w:spacing w:line="460" w:lineRule="exact"/>
              <w:ind w:firstLine="560" w:firstLineChars="200"/>
              <w:jc w:val="both"/>
              <w:textAlignment w:val="baseline"/>
              <w:rPr>
                <w:rFonts w:hint="eastAsia" w:ascii="宋体" w:hAnsi="宋体" w:eastAsia="宋体" w:cs="宋体"/>
                <w:color w:val="auto"/>
                <w:sz w:val="28"/>
                <w:szCs w:val="28"/>
                <w:highlight w:val="none"/>
              </w:rPr>
            </w:pPr>
          </w:p>
        </w:tc>
      </w:tr>
    </w:tbl>
    <w:p w14:paraId="509D10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二、评分办法</w:t>
      </w:r>
    </w:p>
    <w:p w14:paraId="47AA5B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本次评标采用综合评分法。综合评分法是指评标委员会根据招标文件的要求，对投标人进行综合评审，经评审后向招标人推荐不超过三名有排序的合格的中标候选人的一种评标办法。</w:t>
      </w:r>
    </w:p>
    <w:p w14:paraId="647DE2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按投标人投标文件送达的先后顺序开标。投标人的投标报价超过招标控制价的为废标。评标委员会将只对通过初步评审的投标文件进行评价和比较。</w:t>
      </w:r>
    </w:p>
    <w:p w14:paraId="4BA9C3C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评分标准（总分100分）投标的综合得分为：</w:t>
      </w:r>
    </w:p>
    <w:tbl>
      <w:tblPr>
        <w:tblStyle w:val="8"/>
        <w:tblW w:w="9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1039"/>
        <w:gridCol w:w="1100"/>
        <w:gridCol w:w="5533"/>
      </w:tblGrid>
      <w:tr w14:paraId="3F5C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1556" w:type="dxa"/>
            <w:vAlign w:val="center"/>
          </w:tcPr>
          <w:p w14:paraId="1A0AA4C4">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项目</w:t>
            </w:r>
          </w:p>
        </w:tc>
        <w:tc>
          <w:tcPr>
            <w:tcW w:w="1039" w:type="dxa"/>
            <w:vAlign w:val="center"/>
          </w:tcPr>
          <w:p w14:paraId="40460797">
            <w:pPr>
              <w:snapToGrid w:val="0"/>
              <w:jc w:val="center"/>
              <w:textAlignment w:val="baseline"/>
              <w:rPr>
                <w:rFonts w:hint="eastAsia" w:ascii="宋体" w:hAnsi="宋体" w:eastAsia="宋体" w:cs="宋体"/>
                <w:b/>
                <w:bCs/>
                <w:color w:val="auto"/>
                <w:sz w:val="28"/>
                <w:szCs w:val="28"/>
                <w:highlight w:val="red"/>
                <w:lang w:val="en-US" w:eastAsia="zh-CN"/>
              </w:rPr>
            </w:pPr>
            <w:r>
              <w:rPr>
                <w:rFonts w:hint="eastAsia" w:ascii="宋体" w:hAnsi="宋体" w:eastAsia="宋体" w:cs="宋体"/>
                <w:b/>
                <w:bCs/>
                <w:color w:val="auto"/>
                <w:sz w:val="28"/>
                <w:szCs w:val="28"/>
                <w:highlight w:val="none"/>
                <w:lang w:val="en-US" w:eastAsia="zh-CN"/>
              </w:rPr>
              <w:t>评分项目</w:t>
            </w:r>
          </w:p>
        </w:tc>
        <w:tc>
          <w:tcPr>
            <w:tcW w:w="1100" w:type="dxa"/>
            <w:vAlign w:val="center"/>
          </w:tcPr>
          <w:p w14:paraId="3ED62D0E">
            <w:pPr>
              <w:snapToGrid w:val="0"/>
              <w:jc w:val="center"/>
              <w:textAlignment w:val="baseline"/>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分值</w:t>
            </w:r>
          </w:p>
        </w:tc>
        <w:tc>
          <w:tcPr>
            <w:tcW w:w="5533" w:type="dxa"/>
            <w:vAlign w:val="center"/>
          </w:tcPr>
          <w:p w14:paraId="2EF1485D">
            <w:pPr>
              <w:snapToGrid w:val="0"/>
              <w:jc w:val="center"/>
              <w:textAlignment w:val="baseline"/>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评分标准</w:t>
            </w:r>
          </w:p>
        </w:tc>
      </w:tr>
      <w:tr w14:paraId="01CE4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556" w:type="dxa"/>
            <w:vAlign w:val="center"/>
          </w:tcPr>
          <w:p w14:paraId="2C268E0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报价部分</w:t>
            </w:r>
          </w:p>
          <w:p w14:paraId="5072321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（50分）</w:t>
            </w:r>
          </w:p>
        </w:tc>
        <w:tc>
          <w:tcPr>
            <w:tcW w:w="1039" w:type="dxa"/>
            <w:vAlign w:val="center"/>
          </w:tcPr>
          <w:p w14:paraId="4C63AEE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报价</w:t>
            </w:r>
          </w:p>
        </w:tc>
        <w:tc>
          <w:tcPr>
            <w:tcW w:w="1100" w:type="dxa"/>
            <w:vAlign w:val="center"/>
          </w:tcPr>
          <w:p w14:paraId="3DC93E6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50</w:t>
            </w:r>
          </w:p>
        </w:tc>
        <w:tc>
          <w:tcPr>
            <w:tcW w:w="5533" w:type="dxa"/>
            <w:vAlign w:val="center"/>
          </w:tcPr>
          <w:p w14:paraId="6E9DA2E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1.评标基准价=全部有效投标人人工服务费报价的最低值；</w:t>
            </w:r>
          </w:p>
          <w:p w14:paraId="4E024AE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2.投标报价得分=(人工服务费评标基准价÷投标人人工服务费报价)×50；</w:t>
            </w:r>
          </w:p>
          <w:p w14:paraId="7292779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color w:val="auto"/>
                <w:sz w:val="24"/>
                <w:szCs w:val="24"/>
                <w:lang w:val="en-US" w:eastAsia="zh-CN"/>
              </w:rPr>
            </w:pPr>
            <w:r>
              <w:rPr>
                <w:rFonts w:hint="eastAsia" w:ascii="仿宋_GB2312" w:hAnsi="仿宋_GB2312" w:eastAsia="仿宋_GB2312" w:cs="仿宋_GB2312"/>
                <w:color w:val="auto"/>
                <w:kern w:val="2"/>
                <w:sz w:val="28"/>
                <w:szCs w:val="28"/>
                <w:highlight w:val="none"/>
                <w:u w:val="none"/>
                <w:lang w:val="en-US" w:eastAsia="zh-CN" w:bidi="zh-CN"/>
              </w:rPr>
              <w:t>3.得分保留两位小数，第三位四舍五入。</w:t>
            </w:r>
          </w:p>
        </w:tc>
      </w:tr>
      <w:tr w14:paraId="1B4B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1556" w:type="dxa"/>
            <w:vAlign w:val="center"/>
          </w:tcPr>
          <w:p w14:paraId="20DC031E">
            <w:pPr>
              <w:pStyle w:val="7"/>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商务部分</w:t>
            </w:r>
          </w:p>
          <w:p w14:paraId="0FFBB74E">
            <w:pPr>
              <w:pStyle w:val="7"/>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（20分）</w:t>
            </w:r>
          </w:p>
        </w:tc>
        <w:tc>
          <w:tcPr>
            <w:tcW w:w="1039" w:type="dxa"/>
            <w:shd w:val="clear" w:color="auto" w:fill="auto"/>
            <w:vAlign w:val="center"/>
          </w:tcPr>
          <w:p w14:paraId="79A30D2E">
            <w:pPr>
              <w:pStyle w:val="7"/>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企业业绩</w:t>
            </w:r>
          </w:p>
        </w:tc>
        <w:tc>
          <w:tcPr>
            <w:tcW w:w="1100" w:type="dxa"/>
            <w:vAlign w:val="center"/>
          </w:tcPr>
          <w:p w14:paraId="4BE5163A">
            <w:pPr>
              <w:pStyle w:val="7"/>
              <w:ind w:left="0" w:leftChars="0" w:firstLine="0" w:firstLineChars="0"/>
              <w:jc w:val="center"/>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20</w:t>
            </w:r>
          </w:p>
        </w:tc>
        <w:tc>
          <w:tcPr>
            <w:tcW w:w="5533" w:type="dxa"/>
            <w:vAlign w:val="center"/>
          </w:tcPr>
          <w:p w14:paraId="2D44AFA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投标人近三年（2023年8月至投标截止日）有一项类似供货业绩得5分，每加一项得5分，最多得20分。</w:t>
            </w:r>
          </w:p>
          <w:p w14:paraId="7277FB89">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注：提供合同或相关证明资料加盖单位公章，未提供证明材料不得分。</w:t>
            </w:r>
          </w:p>
        </w:tc>
      </w:tr>
      <w:tr w14:paraId="3190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556" w:type="dxa"/>
            <w:shd w:val="clear" w:color="auto" w:fill="auto"/>
            <w:vAlign w:val="center"/>
          </w:tcPr>
          <w:p w14:paraId="009523A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技术部分</w:t>
            </w:r>
          </w:p>
          <w:p w14:paraId="0CDFE01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（30分）</w:t>
            </w:r>
          </w:p>
          <w:p w14:paraId="6311100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p>
        </w:tc>
        <w:tc>
          <w:tcPr>
            <w:tcW w:w="1039" w:type="dxa"/>
            <w:shd w:val="clear" w:color="auto" w:fill="auto"/>
            <w:vAlign w:val="center"/>
          </w:tcPr>
          <w:p w14:paraId="77D7EC0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服务保障</w:t>
            </w:r>
          </w:p>
        </w:tc>
        <w:tc>
          <w:tcPr>
            <w:tcW w:w="1100" w:type="dxa"/>
            <w:shd w:val="clear" w:color="auto" w:fill="auto"/>
            <w:vAlign w:val="center"/>
          </w:tcPr>
          <w:p w14:paraId="15B806D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30</w:t>
            </w:r>
          </w:p>
        </w:tc>
        <w:tc>
          <w:tcPr>
            <w:tcW w:w="5533" w:type="dxa"/>
            <w:shd w:val="clear" w:color="auto" w:fill="auto"/>
            <w:vAlign w:val="center"/>
          </w:tcPr>
          <w:p w14:paraId="1E1F2AC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基础硬性要求：配齐各岗位固定工作人员不少于4人，且持证上岗，早餐保底干粮、流食、鸡蛋、乳制品；午餐保底2荤2素1汤+主食+水果，提前完成备餐保障准时开餐，定岗落实食材验收、48小时留样、后厨分区作业、全场消杀、设备巡检、应急处置、甲方对接全岗位职责。</w:t>
            </w:r>
          </w:p>
          <w:p w14:paraId="299011E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1.方案清晰列明各岗位具体人数、持证上岗安排，正餐明确高于基础硬性要求、制定详细错峰备餐排班表，食材验收、食品留样、后厨消杀、设备维保全部定岗定人，设置备用机动人员、节日特色餐、应急保障人员等增值保障，内容完整详实：0～15分</w:t>
            </w:r>
          </w:p>
          <w:p w14:paraId="27A9502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2.方案仅满足最低要求、基础消杀留样均有表述，无增值人员及菜品优化设计，内容常规普通：0～10分</w:t>
            </w:r>
          </w:p>
          <w:p w14:paraId="147B416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仿宋_GB2312" w:hAnsi="仿宋_GB2312" w:eastAsia="仿宋_GB2312" w:cs="仿宋_GB2312"/>
                <w:color w:val="auto"/>
                <w:kern w:val="2"/>
                <w:sz w:val="28"/>
                <w:szCs w:val="28"/>
                <w:highlight w:val="none"/>
                <w:u w:val="none"/>
                <w:lang w:val="en-US" w:eastAsia="zh-CN" w:bidi="zh-CN"/>
              </w:rPr>
            </w:pPr>
            <w:r>
              <w:rPr>
                <w:rFonts w:hint="eastAsia" w:ascii="仿宋_GB2312" w:hAnsi="仿宋_GB2312" w:eastAsia="仿宋_GB2312" w:cs="仿宋_GB2312"/>
                <w:color w:val="auto"/>
                <w:kern w:val="2"/>
                <w:sz w:val="28"/>
                <w:szCs w:val="28"/>
                <w:highlight w:val="none"/>
                <w:u w:val="none"/>
                <w:lang w:val="en-US" w:eastAsia="zh-CN" w:bidi="zh-CN"/>
              </w:rPr>
              <w:t>3.方案人员数量模糊、菜品未达标、安全消杀、设备运维无定岗安排、备餐计划缺失，内容简略：0～5分</w:t>
            </w:r>
          </w:p>
        </w:tc>
      </w:tr>
    </w:tbl>
    <w:p w14:paraId="50B180A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baseline"/>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三、计分办法</w:t>
      </w:r>
    </w:p>
    <w:p w14:paraId="42FA4958">
      <w:pPr>
        <w:pStyle w:val="11"/>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（一）评标委员会按照招标文件的要求给投标人打分，并按下列公式确定各投标人的评定分数：</w:t>
      </w:r>
    </w:p>
    <w:p w14:paraId="717BF81C">
      <w:pPr>
        <w:pStyle w:val="11"/>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评定分数=报价部分得分+商务部分得分+技术部分得分</w:t>
      </w:r>
    </w:p>
    <w:p w14:paraId="778F0E5B">
      <w:pPr>
        <w:pStyle w:val="11"/>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（二）各投标人的最终得分为各评委所评定分数的算术平均值。</w:t>
      </w:r>
    </w:p>
    <w:p w14:paraId="1B074291">
      <w:pPr>
        <w:pStyle w:val="11"/>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（三）各项统计、评分结果均按四舍五入方法精确到小数点后两位。</w:t>
      </w:r>
    </w:p>
    <w:p w14:paraId="7B3100D6">
      <w:pPr>
        <w:pStyle w:val="11"/>
        <w:keepNext w:val="0"/>
        <w:keepLines w:val="0"/>
        <w:pageBreakBefore w:val="0"/>
        <w:widowControl w:val="0"/>
        <w:tabs>
          <w:tab w:val="left" w:pos="1318"/>
        </w:tabs>
        <w:kinsoku/>
        <w:wordWrap/>
        <w:overflowPunct/>
        <w:topLinePunct w:val="0"/>
        <w:autoSpaceDE w:val="0"/>
        <w:autoSpaceDN w:val="0"/>
        <w:bidi w:val="0"/>
        <w:adjustRightInd/>
        <w:snapToGrid w:val="0"/>
        <w:spacing w:line="560" w:lineRule="exact"/>
        <w:ind w:left="0" w:firstLine="640" w:firstLineChars="200"/>
        <w:jc w:val="both"/>
        <w:textAlignment w:val="baseline"/>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（四）评标委员会根据投标人的最终得分，按高低次序确定投标人最终的排列名次，并按照招标文件中规定，推荐不超过三名有排序的合格的中标候选人。</w:t>
      </w:r>
    </w:p>
    <w:p w14:paraId="52386735">
      <w:pPr>
        <w:rPr>
          <w:rFonts w:hint="eastAsia" w:ascii="黑体" w:hAnsi="黑体" w:eastAsia="黑体" w:cs="黑体"/>
          <w:b/>
          <w:bCs/>
          <w:color w:val="auto"/>
          <w:sz w:val="28"/>
          <w:szCs w:val="28"/>
          <w:highlight w:val="none"/>
          <w:lang w:val="en-US" w:eastAsia="zh-CN" w:bidi="zh-CN"/>
        </w:rPr>
      </w:pPr>
      <w:r>
        <w:rPr>
          <w:rFonts w:hint="eastAsia" w:ascii="黑体" w:hAnsi="黑体" w:eastAsia="黑体" w:cs="黑体"/>
          <w:b/>
          <w:bCs/>
          <w:color w:val="auto"/>
          <w:sz w:val="28"/>
          <w:szCs w:val="28"/>
          <w:highlight w:val="none"/>
          <w:lang w:val="en-US" w:eastAsia="zh-CN" w:bidi="zh-CN"/>
        </w:rPr>
        <w:br w:type="page"/>
      </w:r>
    </w:p>
    <w:p w14:paraId="185C9EFF">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CE165F"/>
    <w:rsid w:val="09CE165F"/>
    <w:rsid w:val="0B7849E6"/>
    <w:rsid w:val="1B225312"/>
    <w:rsid w:val="37CB2832"/>
    <w:rsid w:val="66D95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before="220" w:beforeLines="0" w:beforeAutospacing="0" w:after="210" w:afterLines="0" w:afterAutospacing="0" w:line="576" w:lineRule="auto"/>
      <w:jc w:val="center"/>
      <w:outlineLvl w:val="0"/>
    </w:pPr>
    <w:rPr>
      <w:rFonts w:eastAsia="方正小标宋_GBK" w:asciiTheme="minorAscii" w:hAnsiTheme="minorAscii"/>
      <w:b/>
      <w:kern w:val="44"/>
      <w:sz w:val="44"/>
    </w:rPr>
  </w:style>
  <w:style w:type="paragraph" w:styleId="6">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style>
  <w:style w:type="paragraph" w:styleId="3">
    <w:name w:val="Body Text"/>
    <w:basedOn w:val="1"/>
    <w:next w:val="4"/>
    <w:qFormat/>
    <w:uiPriority w:val="1"/>
    <w:rPr>
      <w:sz w:val="21"/>
      <w:szCs w:val="21"/>
    </w:rPr>
  </w:style>
  <w:style w:type="paragraph" w:styleId="4">
    <w:name w:val="Body Text 2"/>
    <w:basedOn w:val="1"/>
    <w:qFormat/>
    <w:uiPriority w:val="0"/>
    <w:pPr>
      <w:spacing w:after="120" w:line="480" w:lineRule="auto"/>
    </w:pPr>
  </w:style>
  <w:style w:type="paragraph" w:styleId="7">
    <w:name w:val="Normal Indent"/>
    <w:basedOn w:val="1"/>
    <w:qFormat/>
    <w:uiPriority w:val="0"/>
    <w:pPr>
      <w:ind w:firstLine="420" w:firstLineChars="200"/>
    </w:pPr>
    <w:rPr>
      <w:rFonts w:ascii="Calibri" w:hAnsi="Calibri"/>
      <w:sz w:val="21"/>
    </w:rPr>
  </w:style>
  <w:style w:type="paragraph" w:customStyle="1" w:styleId="10">
    <w:name w:val="Table Paragraph"/>
    <w:basedOn w:val="1"/>
    <w:qFormat/>
    <w:uiPriority w:val="1"/>
  </w:style>
  <w:style w:type="paragraph" w:styleId="11">
    <w:name w:val="List Paragraph"/>
    <w:basedOn w:val="1"/>
    <w:qFormat/>
    <w:uiPriority w:val="1"/>
    <w:pPr>
      <w:ind w:left="579"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2026-08-20T02:45:00Z</dcterms:created>
  <dc:creator>大肉</dc:creator>
  <cp:lastModifiedBy>大肉</cp:lastModifiedBy>
  <dcterms:modified xsi:type="dcterms:W3CDTF">2026-08-20T02:45:58Z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8FCB49E07D6B4224AC6A5E3ADF0CC7BF_13</vt:lpwstr>
  </property>
  <property fmtid="{D5CDD505-2E9C-101B-9397-08002B2CF9AE}" pid="4" name="KSOTemplateDocerSaveRecord">
    <vt:lpwstr>eyJoZGlkIjoiODc3MjdjODIxMTZlNTc2MzQzNzA3YTFjMWM0NmU0ZWMiLCJ1c2VySWQiOiI0MjA5MjQwNzMifQ==</vt:lpwstr>
  </property>
</Properties>
</file>