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49F1E">
      <w:pPr>
        <w:pStyle w:val="3"/>
        <w:tabs>
          <w:tab w:val="left" w:pos="1286"/>
        </w:tabs>
        <w:snapToGrid w:val="0"/>
        <w:spacing w:before="21" w:line="240" w:lineRule="auto"/>
        <w:ind w:firstLine="281" w:firstLineChars="100"/>
        <w:jc w:val="left"/>
        <w:textAlignment w:val="baseline"/>
        <w:rPr>
          <w:rFonts w:hint="default" w:ascii="黑体" w:hAnsi="黑体" w:eastAsia="黑体" w:cs="黑体"/>
          <w:color w:val="auto"/>
          <w:sz w:val="28"/>
          <w:szCs w:val="28"/>
          <w:highlight w:val="none"/>
          <w:lang w:val="en-US" w:eastAsia="zh-CN"/>
        </w:rPr>
      </w:pPr>
      <w:bookmarkStart w:id="0" w:name="_Toc20081"/>
      <w:r>
        <w:rPr>
          <w:rFonts w:hint="eastAsia" w:ascii="黑体" w:hAnsi="黑体" w:eastAsia="黑体" w:cs="黑体"/>
          <w:color w:val="auto"/>
          <w:sz w:val="28"/>
          <w:szCs w:val="28"/>
          <w:highlight w:val="none"/>
          <w:lang w:val="en-US" w:eastAsia="zh-CN"/>
        </w:rPr>
        <w:t>附件2</w:t>
      </w:r>
    </w:p>
    <w:p w14:paraId="729BE3F2">
      <w:pPr>
        <w:pStyle w:val="3"/>
        <w:tabs>
          <w:tab w:val="left" w:pos="1286"/>
        </w:tabs>
        <w:snapToGrid w:val="0"/>
        <w:spacing w:before="21" w:line="240" w:lineRule="auto"/>
        <w:textAlignment w:val="baseline"/>
        <w:rPr>
          <w:rFonts w:hint="eastAsia"/>
          <w:b/>
          <w:color w:val="auto"/>
          <w:sz w:val="36"/>
          <w:szCs w:val="36"/>
          <w:highlight w:val="red"/>
          <w:lang w:val="en-US"/>
        </w:rPr>
      </w:pPr>
      <w:bookmarkStart w:id="2" w:name="_GoBack"/>
      <w:r>
        <w:rPr>
          <w:rFonts w:hint="eastAsia" w:ascii="黑体" w:hAnsi="黑体" w:eastAsia="黑体" w:cs="黑体"/>
          <w:color w:val="auto"/>
          <w:sz w:val="44"/>
          <w:szCs w:val="44"/>
          <w:highlight w:val="none"/>
        </w:rPr>
        <w:t>评标办法</w:t>
      </w:r>
      <w:bookmarkEnd w:id="0"/>
      <w:bookmarkStart w:id="1" w:name="_Toc11870"/>
    </w:p>
    <w:bookmarkEnd w:id="2"/>
    <w:p w14:paraId="25C835A9">
      <w:pPr>
        <w:snapToGrid w:val="0"/>
        <w:spacing w:line="460" w:lineRule="exact"/>
        <w:ind w:firstLine="482" w:firstLineChars="200"/>
        <w:jc w:val="both"/>
        <w:textAlignment w:val="baseline"/>
        <w:rPr>
          <w:b/>
          <w:color w:val="auto"/>
          <w:sz w:val="24"/>
          <w:szCs w:val="24"/>
          <w:highlight w:val="none"/>
          <w:lang w:val="en-US"/>
        </w:rPr>
      </w:pPr>
      <w:r>
        <w:rPr>
          <w:rFonts w:hint="eastAsia"/>
          <w:b/>
          <w:color w:val="auto"/>
          <w:sz w:val="24"/>
          <w:szCs w:val="24"/>
          <w:highlight w:val="none"/>
          <w:lang w:val="en-US"/>
        </w:rPr>
        <w:t>1.资格评审标准</w:t>
      </w:r>
      <w:bookmarkEnd w:id="1"/>
    </w:p>
    <w:p w14:paraId="7719C645">
      <w:pPr>
        <w:pStyle w:val="5"/>
        <w:snapToGrid w:val="0"/>
        <w:spacing w:line="460" w:lineRule="exact"/>
        <w:ind w:firstLine="448" w:firstLineChars="200"/>
        <w:jc w:val="both"/>
        <w:textAlignment w:val="baseline"/>
        <w:rPr>
          <w:color w:val="auto"/>
          <w:sz w:val="24"/>
          <w:szCs w:val="24"/>
          <w:highlight w:val="none"/>
        </w:rPr>
      </w:pPr>
      <w:r>
        <w:rPr>
          <w:rFonts w:hint="eastAsia"/>
          <w:color w:val="auto"/>
          <w:spacing w:val="-8"/>
          <w:sz w:val="24"/>
          <w:szCs w:val="24"/>
          <w:highlight w:val="none"/>
        </w:rPr>
        <w:t>本项目采取资格后审合格/不合格制</w:t>
      </w:r>
      <w:r>
        <w:rPr>
          <w:rFonts w:hint="eastAsia"/>
          <w:color w:val="auto"/>
          <w:sz w:val="24"/>
          <w:szCs w:val="24"/>
          <w:highlight w:val="none"/>
        </w:rPr>
        <w:t>。投标人提供的全部资料必须准确详细，以便本项目评标委员会做到正确判断。资格后审将完全依据投标人提供的资料，或者按评委要求对所投标文件的澄清材料。如果没按要求在投标文件中提供具体材料，如有一项认为不合格，报评标委员会审定后，可直接判定投标人资格不合格，其投标文件不予评审。</w:t>
      </w:r>
    </w:p>
    <w:p w14:paraId="76E4248A">
      <w:pPr>
        <w:snapToGrid w:val="0"/>
        <w:spacing w:line="460" w:lineRule="exact"/>
        <w:ind w:firstLine="482" w:firstLineChars="200"/>
        <w:jc w:val="both"/>
        <w:textAlignment w:val="baseline"/>
        <w:rPr>
          <w:b/>
          <w:color w:val="auto"/>
          <w:sz w:val="24"/>
          <w:szCs w:val="24"/>
          <w:highlight w:val="none"/>
        </w:rPr>
      </w:pPr>
      <w:r>
        <w:rPr>
          <w:rFonts w:hint="eastAsia"/>
          <w:b/>
          <w:color w:val="auto"/>
          <w:sz w:val="24"/>
          <w:szCs w:val="24"/>
          <w:highlight w:val="none"/>
        </w:rPr>
        <w:t>资格后审合格条件标准</w:t>
      </w:r>
    </w:p>
    <w:tbl>
      <w:tblPr>
        <w:tblStyle w:val="6"/>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30B4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300" w:type="dxa"/>
            <w:gridSpan w:val="3"/>
            <w:vAlign w:val="center"/>
          </w:tcPr>
          <w:p w14:paraId="74630286">
            <w:pPr>
              <w:pStyle w:val="9"/>
              <w:snapToGrid w:val="0"/>
              <w:spacing w:line="460" w:lineRule="exact"/>
              <w:ind w:firstLine="482" w:firstLineChars="200"/>
              <w:jc w:val="both"/>
              <w:textAlignment w:val="baseline"/>
              <w:rPr>
                <w:b/>
                <w:color w:val="auto"/>
                <w:sz w:val="24"/>
                <w:szCs w:val="24"/>
                <w:highlight w:val="none"/>
              </w:rPr>
            </w:pPr>
            <w:r>
              <w:rPr>
                <w:rFonts w:hint="eastAsia"/>
                <w:b/>
                <w:color w:val="auto"/>
                <w:sz w:val="24"/>
                <w:szCs w:val="24"/>
                <w:highlight w:val="none"/>
              </w:rPr>
              <w:t>一、资格审查</w:t>
            </w:r>
          </w:p>
        </w:tc>
      </w:tr>
      <w:tr w14:paraId="1397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20" w:type="dxa"/>
            <w:vAlign w:val="center"/>
          </w:tcPr>
          <w:p w14:paraId="66ACA50C">
            <w:pPr>
              <w:pStyle w:val="9"/>
              <w:snapToGrid w:val="0"/>
              <w:spacing w:line="460" w:lineRule="exact"/>
              <w:jc w:val="center"/>
              <w:textAlignment w:val="baseline"/>
              <w:rPr>
                <w:b/>
                <w:color w:val="auto"/>
                <w:sz w:val="24"/>
                <w:szCs w:val="24"/>
                <w:highlight w:val="none"/>
              </w:rPr>
            </w:pPr>
            <w:r>
              <w:rPr>
                <w:rFonts w:hint="eastAsia"/>
                <w:b/>
                <w:color w:val="auto"/>
                <w:sz w:val="24"/>
                <w:szCs w:val="24"/>
                <w:highlight w:val="none"/>
              </w:rPr>
              <w:t>序号</w:t>
            </w:r>
          </w:p>
        </w:tc>
        <w:tc>
          <w:tcPr>
            <w:tcW w:w="7340" w:type="dxa"/>
            <w:vAlign w:val="center"/>
          </w:tcPr>
          <w:p w14:paraId="359662FD">
            <w:pPr>
              <w:pStyle w:val="9"/>
              <w:snapToGrid w:val="0"/>
              <w:spacing w:line="460" w:lineRule="exact"/>
              <w:jc w:val="both"/>
              <w:textAlignment w:val="baseline"/>
              <w:rPr>
                <w:b/>
                <w:color w:val="auto"/>
                <w:sz w:val="24"/>
                <w:szCs w:val="24"/>
                <w:highlight w:val="none"/>
              </w:rPr>
            </w:pPr>
            <w:r>
              <w:rPr>
                <w:rFonts w:hint="eastAsia"/>
                <w:b/>
                <w:color w:val="auto"/>
                <w:sz w:val="24"/>
                <w:szCs w:val="24"/>
                <w:highlight w:val="none"/>
              </w:rPr>
              <w:t>招标文件要求</w:t>
            </w:r>
          </w:p>
        </w:tc>
        <w:tc>
          <w:tcPr>
            <w:tcW w:w="1140" w:type="dxa"/>
            <w:vAlign w:val="center"/>
          </w:tcPr>
          <w:p w14:paraId="1AA4B20D">
            <w:pPr>
              <w:pStyle w:val="9"/>
              <w:snapToGrid w:val="0"/>
              <w:spacing w:line="460" w:lineRule="exact"/>
              <w:ind w:firstLine="241" w:firstLineChars="100"/>
              <w:jc w:val="both"/>
              <w:textAlignment w:val="baseline"/>
              <w:rPr>
                <w:b/>
                <w:color w:val="auto"/>
                <w:sz w:val="24"/>
                <w:szCs w:val="24"/>
                <w:highlight w:val="none"/>
              </w:rPr>
            </w:pPr>
            <w:r>
              <w:rPr>
                <w:rFonts w:hint="eastAsia"/>
                <w:b/>
                <w:color w:val="auto"/>
                <w:sz w:val="24"/>
                <w:szCs w:val="24"/>
                <w:highlight w:val="none"/>
              </w:rPr>
              <w:t>说明</w:t>
            </w:r>
          </w:p>
        </w:tc>
      </w:tr>
      <w:tr w14:paraId="1DD9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6" w:hRule="atLeast"/>
          <w:jc w:val="center"/>
        </w:trPr>
        <w:tc>
          <w:tcPr>
            <w:tcW w:w="820" w:type="dxa"/>
            <w:vAlign w:val="center"/>
          </w:tcPr>
          <w:p w14:paraId="3E5AEF05">
            <w:pPr>
              <w:pStyle w:val="9"/>
              <w:snapToGrid w:val="0"/>
              <w:spacing w:line="460" w:lineRule="exact"/>
              <w:jc w:val="center"/>
              <w:textAlignment w:val="baseline"/>
              <w:rPr>
                <w:color w:val="auto"/>
                <w:sz w:val="24"/>
                <w:szCs w:val="24"/>
                <w:highlight w:val="none"/>
              </w:rPr>
            </w:pPr>
            <w:r>
              <w:rPr>
                <w:rFonts w:hint="eastAsia"/>
                <w:color w:val="auto"/>
                <w:sz w:val="24"/>
                <w:szCs w:val="24"/>
                <w:highlight w:val="none"/>
              </w:rPr>
              <w:t>1</w:t>
            </w:r>
          </w:p>
        </w:tc>
        <w:tc>
          <w:tcPr>
            <w:tcW w:w="7340" w:type="dxa"/>
          </w:tcPr>
          <w:p w14:paraId="7A675C36">
            <w:pPr>
              <w:pStyle w:val="10"/>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color w:val="auto"/>
                <w:sz w:val="24"/>
                <w:szCs w:val="24"/>
                <w:highlight w:val="none"/>
                <w:u w:val="none"/>
                <w:lang w:eastAsia="zh-CN"/>
              </w:rPr>
            </w:pPr>
            <w:r>
              <w:rPr>
                <w:rFonts w:hint="eastAsia" w:cs="宋体"/>
                <w:b/>
                <w:bCs/>
                <w:color w:val="auto"/>
                <w:sz w:val="24"/>
                <w:szCs w:val="24"/>
                <w:highlight w:val="none"/>
                <w:u w:val="none"/>
                <w:lang w:val="en-US" w:eastAsia="zh-CN" w:bidi="zh-CN"/>
              </w:rPr>
              <w:t>主体资质：</w:t>
            </w:r>
            <w:r>
              <w:rPr>
                <w:rFonts w:hint="eastAsia" w:ascii="宋体" w:hAnsi="宋体" w:eastAsia="宋体" w:cs="宋体"/>
                <w:color w:val="auto"/>
                <w:sz w:val="24"/>
                <w:szCs w:val="24"/>
                <w:highlight w:val="none"/>
                <w:u w:val="none"/>
                <w:lang w:val="en-US" w:eastAsia="zh-CN" w:bidi="zh-CN"/>
              </w:rPr>
              <w:t>投标人须具备在工商行政主管部门注册，具有独立法人资格和有效的营业执照；工程咨询乙级及以上资信（含预评价证书）。</w:t>
            </w:r>
          </w:p>
        </w:tc>
        <w:tc>
          <w:tcPr>
            <w:tcW w:w="1140" w:type="dxa"/>
            <w:vMerge w:val="restart"/>
            <w:vAlign w:val="center"/>
          </w:tcPr>
          <w:p w14:paraId="1A8359C1">
            <w:pPr>
              <w:pStyle w:val="9"/>
              <w:keepNext w:val="0"/>
              <w:keepLines w:val="0"/>
              <w:pageBreakBefore w:val="0"/>
              <w:widowControl w:val="0"/>
              <w:kinsoku/>
              <w:wordWrap/>
              <w:overflowPunct/>
              <w:topLinePunct w:val="0"/>
              <w:autoSpaceDE w:val="0"/>
              <w:autoSpaceDN w:val="0"/>
              <w:bidi w:val="0"/>
              <w:adjustRightInd/>
              <w:snapToGrid w:val="0"/>
              <w:spacing w:line="300" w:lineRule="exact"/>
              <w:jc w:val="both"/>
              <w:textAlignment w:val="baseline"/>
              <w:rPr>
                <w:color w:val="auto"/>
                <w:sz w:val="24"/>
                <w:szCs w:val="24"/>
                <w:highlight w:val="none"/>
              </w:rPr>
            </w:pPr>
            <w:r>
              <w:rPr>
                <w:rFonts w:hint="eastAsia"/>
                <w:color w:val="auto"/>
                <w:sz w:val="24"/>
                <w:szCs w:val="24"/>
                <w:highlight w:val="none"/>
              </w:rPr>
              <w:t>提供扫描件，凡有一条不符合招标要求的，其投标文件将被否决。</w:t>
            </w:r>
          </w:p>
          <w:p w14:paraId="34DBCCF3">
            <w:pPr>
              <w:pStyle w:val="9"/>
              <w:snapToGrid w:val="0"/>
              <w:spacing w:line="460" w:lineRule="exact"/>
              <w:ind w:firstLine="480" w:firstLineChars="200"/>
              <w:jc w:val="both"/>
              <w:textAlignment w:val="baseline"/>
              <w:rPr>
                <w:color w:val="auto"/>
                <w:sz w:val="24"/>
                <w:szCs w:val="24"/>
                <w:highlight w:val="none"/>
              </w:rPr>
            </w:pPr>
          </w:p>
        </w:tc>
      </w:tr>
      <w:tr w14:paraId="5EDC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20" w:type="dxa"/>
            <w:vAlign w:val="center"/>
          </w:tcPr>
          <w:p w14:paraId="1C1221DD">
            <w:pPr>
              <w:pStyle w:val="9"/>
              <w:snapToGrid w:val="0"/>
              <w:spacing w:line="460" w:lineRule="exact"/>
              <w:jc w:val="center"/>
              <w:textAlignment w:val="baseline"/>
              <w:rPr>
                <w:color w:val="auto"/>
                <w:sz w:val="24"/>
                <w:szCs w:val="24"/>
                <w:highlight w:val="none"/>
                <w:lang w:val="en-US"/>
              </w:rPr>
            </w:pPr>
            <w:r>
              <w:rPr>
                <w:rFonts w:hint="eastAsia"/>
                <w:color w:val="auto"/>
                <w:sz w:val="24"/>
                <w:szCs w:val="24"/>
                <w:highlight w:val="none"/>
                <w:lang w:val="en-US"/>
              </w:rPr>
              <w:t>2</w:t>
            </w:r>
          </w:p>
        </w:tc>
        <w:tc>
          <w:tcPr>
            <w:tcW w:w="7340" w:type="dxa"/>
          </w:tcPr>
          <w:p w14:paraId="4B589FD7">
            <w:pPr>
              <w:pStyle w:val="10"/>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default" w:ascii="宋体" w:hAnsi="宋体" w:eastAsia="宋体" w:cs="宋体"/>
                <w:color w:val="auto"/>
                <w:sz w:val="24"/>
                <w:szCs w:val="24"/>
                <w:highlight w:val="none"/>
                <w:u w:val="none"/>
                <w:lang w:val="en-US" w:eastAsia="zh-CN" w:bidi="zh-CN"/>
              </w:rPr>
            </w:pPr>
            <w:r>
              <w:rPr>
                <w:rFonts w:hint="eastAsia" w:ascii="宋体" w:hAnsi="宋体" w:eastAsia="宋体" w:cs="宋体"/>
                <w:b/>
                <w:bCs/>
                <w:color w:val="auto"/>
                <w:sz w:val="24"/>
                <w:szCs w:val="24"/>
                <w:highlight w:val="none"/>
                <w:u w:val="none"/>
                <w:lang w:val="en-US" w:eastAsia="zh-CN" w:bidi="zh-CN"/>
              </w:rPr>
              <w:t>财务要求：</w:t>
            </w:r>
            <w:r>
              <w:rPr>
                <w:rFonts w:hint="eastAsia" w:ascii="宋体" w:hAnsi="宋体" w:eastAsia="宋体" w:cs="宋体"/>
                <w:color w:val="auto"/>
                <w:sz w:val="24"/>
                <w:szCs w:val="24"/>
                <w:highlight w:val="none"/>
                <w:u w:val="none"/>
                <w:lang w:val="en-US" w:eastAsia="zh-CN" w:bidi="zh-CN"/>
              </w:rPr>
              <w:t>投标人须提供近三年（</w:t>
            </w:r>
            <w:r>
              <w:rPr>
                <w:rFonts w:hint="eastAsia" w:cs="宋体"/>
                <w:color w:val="auto"/>
                <w:sz w:val="24"/>
                <w:szCs w:val="24"/>
                <w:highlight w:val="none"/>
                <w:u w:val="none"/>
                <w:lang w:val="en-US" w:eastAsia="zh-CN" w:bidi="zh-CN"/>
              </w:rPr>
              <w:t>2023、</w:t>
            </w:r>
            <w:r>
              <w:rPr>
                <w:rFonts w:hint="eastAsia" w:ascii="宋体" w:hAnsi="宋体" w:eastAsia="宋体" w:cs="宋体"/>
                <w:color w:val="auto"/>
                <w:sz w:val="24"/>
                <w:szCs w:val="24"/>
                <w:highlight w:val="none"/>
                <w:u w:val="none"/>
                <w:lang w:val="en-US" w:eastAsia="zh-CN" w:bidi="zh-CN"/>
              </w:rPr>
              <w:t>2024</w:t>
            </w:r>
            <w:r>
              <w:rPr>
                <w:rFonts w:hint="eastAsia" w:cs="宋体"/>
                <w:color w:val="auto"/>
                <w:sz w:val="24"/>
                <w:szCs w:val="24"/>
                <w:highlight w:val="none"/>
                <w:u w:val="none"/>
                <w:lang w:val="en-US" w:eastAsia="zh-CN" w:bidi="zh-CN"/>
              </w:rPr>
              <w:t>、2</w:t>
            </w:r>
            <w:r>
              <w:rPr>
                <w:rFonts w:hint="eastAsia" w:ascii="宋体" w:hAnsi="宋体" w:eastAsia="宋体" w:cs="宋体"/>
                <w:color w:val="auto"/>
                <w:sz w:val="24"/>
                <w:szCs w:val="24"/>
                <w:highlight w:val="none"/>
                <w:u w:val="none"/>
                <w:lang w:val="en-US" w:eastAsia="zh-CN" w:bidi="zh-CN"/>
              </w:rPr>
              <w:t>02</w:t>
            </w:r>
            <w:r>
              <w:rPr>
                <w:rFonts w:hint="eastAsia" w:cs="宋体"/>
                <w:color w:val="auto"/>
                <w:sz w:val="24"/>
                <w:szCs w:val="24"/>
                <w:highlight w:val="none"/>
                <w:u w:val="none"/>
                <w:lang w:val="en-US" w:eastAsia="zh-CN" w:bidi="zh-CN"/>
              </w:rPr>
              <w:t>5</w:t>
            </w:r>
            <w:r>
              <w:rPr>
                <w:rFonts w:hint="eastAsia" w:ascii="宋体" w:hAnsi="宋体" w:eastAsia="宋体" w:cs="宋体"/>
                <w:color w:val="auto"/>
                <w:sz w:val="24"/>
                <w:szCs w:val="24"/>
                <w:highlight w:val="none"/>
                <w:u w:val="none"/>
                <w:lang w:val="en-US" w:eastAsia="zh-CN" w:bidi="zh-CN"/>
              </w:rPr>
              <w:t>年）财务审计报告，须包含资产负债表、现金流量表、利润表；且近两年净利润均大于0。</w:t>
            </w:r>
          </w:p>
        </w:tc>
        <w:tc>
          <w:tcPr>
            <w:tcW w:w="1140" w:type="dxa"/>
            <w:vMerge w:val="continue"/>
          </w:tcPr>
          <w:p w14:paraId="4394325A">
            <w:pPr>
              <w:pStyle w:val="9"/>
              <w:snapToGrid w:val="0"/>
              <w:spacing w:line="460" w:lineRule="exact"/>
              <w:ind w:firstLine="482" w:firstLineChars="200"/>
              <w:jc w:val="both"/>
              <w:textAlignment w:val="baseline"/>
              <w:rPr>
                <w:b/>
                <w:color w:val="auto"/>
                <w:sz w:val="24"/>
                <w:szCs w:val="24"/>
                <w:highlight w:val="none"/>
              </w:rPr>
            </w:pPr>
          </w:p>
        </w:tc>
      </w:tr>
      <w:tr w14:paraId="6D42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jc w:val="center"/>
        </w:trPr>
        <w:tc>
          <w:tcPr>
            <w:tcW w:w="820" w:type="dxa"/>
            <w:vAlign w:val="center"/>
          </w:tcPr>
          <w:p w14:paraId="4D14F104">
            <w:pPr>
              <w:pStyle w:val="9"/>
              <w:snapToGrid w:val="0"/>
              <w:spacing w:line="460" w:lineRule="exact"/>
              <w:jc w:val="center"/>
              <w:textAlignment w:val="baseline"/>
              <w:rPr>
                <w:rFonts w:hint="eastAsia" w:eastAsia="宋体"/>
                <w:color w:val="auto"/>
                <w:sz w:val="24"/>
                <w:szCs w:val="24"/>
                <w:highlight w:val="none"/>
                <w:lang w:val="en-US" w:eastAsia="zh-CN"/>
              </w:rPr>
            </w:pPr>
            <w:r>
              <w:rPr>
                <w:rFonts w:hint="eastAsia"/>
                <w:color w:val="auto"/>
                <w:sz w:val="24"/>
                <w:szCs w:val="24"/>
                <w:highlight w:val="none"/>
                <w:lang w:val="en-US" w:eastAsia="zh-CN"/>
              </w:rPr>
              <w:t>3</w:t>
            </w:r>
          </w:p>
        </w:tc>
        <w:tc>
          <w:tcPr>
            <w:tcW w:w="7340" w:type="dxa"/>
          </w:tcPr>
          <w:p w14:paraId="4E278E6F">
            <w:pPr>
              <w:pStyle w:val="10"/>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b/>
                <w:bCs/>
                <w:color w:val="auto"/>
                <w:sz w:val="24"/>
                <w:szCs w:val="24"/>
                <w:highlight w:val="none"/>
                <w:u w:val="none"/>
                <w:lang w:val="en-US" w:eastAsia="zh-CN" w:bidi="zh-CN"/>
              </w:rPr>
              <w:t>企业业绩：</w:t>
            </w:r>
            <w:r>
              <w:rPr>
                <w:rFonts w:hint="eastAsia" w:ascii="宋体" w:hAnsi="宋体" w:eastAsia="宋体" w:cs="宋体"/>
                <w:color w:val="auto"/>
                <w:sz w:val="24"/>
                <w:szCs w:val="24"/>
                <w:highlight w:val="none"/>
                <w:u w:val="none"/>
                <w:lang w:val="en-US" w:eastAsia="zh-CN" w:bidi="zh-CN"/>
              </w:rPr>
              <w:t>投标人近</w:t>
            </w:r>
            <w:r>
              <w:rPr>
                <w:rFonts w:hint="eastAsia" w:cs="宋体"/>
                <w:color w:val="auto"/>
                <w:sz w:val="24"/>
                <w:szCs w:val="24"/>
                <w:highlight w:val="none"/>
                <w:u w:val="none"/>
                <w:lang w:val="en-US" w:eastAsia="zh-CN" w:bidi="zh-CN"/>
              </w:rPr>
              <w:t>5</w:t>
            </w:r>
            <w:r>
              <w:rPr>
                <w:rFonts w:hint="eastAsia" w:ascii="宋体" w:hAnsi="宋体" w:eastAsia="宋体" w:cs="宋体"/>
                <w:color w:val="auto"/>
                <w:sz w:val="24"/>
                <w:szCs w:val="24"/>
                <w:highlight w:val="none"/>
                <w:u w:val="none"/>
                <w:lang w:val="en-US" w:eastAsia="zh-CN" w:bidi="zh-CN"/>
              </w:rPr>
              <w:t>年（2021年</w:t>
            </w:r>
            <w:r>
              <w:rPr>
                <w:rFonts w:hint="eastAsia" w:cs="宋体"/>
                <w:color w:val="auto"/>
                <w:sz w:val="24"/>
                <w:szCs w:val="24"/>
                <w:highlight w:val="none"/>
                <w:u w:val="none"/>
                <w:lang w:val="en-US" w:eastAsia="zh-CN" w:bidi="zh-CN"/>
              </w:rPr>
              <w:t>6</w:t>
            </w:r>
            <w:r>
              <w:rPr>
                <w:rFonts w:hint="eastAsia" w:ascii="宋体" w:hAnsi="宋体" w:eastAsia="宋体" w:cs="宋体"/>
                <w:color w:val="auto"/>
                <w:sz w:val="24"/>
                <w:szCs w:val="24"/>
                <w:highlight w:val="none"/>
                <w:u w:val="none"/>
                <w:lang w:val="en-US" w:eastAsia="zh-CN" w:bidi="zh-CN"/>
              </w:rPr>
              <w:t>月1日至今）至少完成过一项投资额在5000万元及以上的工程咨询服务业绩，须提供中标通知书或合同复印件，时间以合同签订时间为准。</w:t>
            </w:r>
          </w:p>
        </w:tc>
        <w:tc>
          <w:tcPr>
            <w:tcW w:w="1140" w:type="dxa"/>
            <w:vMerge w:val="continue"/>
          </w:tcPr>
          <w:p w14:paraId="6F8A6C54">
            <w:pPr>
              <w:pStyle w:val="9"/>
              <w:snapToGrid w:val="0"/>
              <w:spacing w:line="460" w:lineRule="exact"/>
              <w:ind w:firstLine="482" w:firstLineChars="200"/>
              <w:jc w:val="both"/>
              <w:textAlignment w:val="baseline"/>
              <w:rPr>
                <w:b/>
                <w:color w:val="auto"/>
                <w:sz w:val="24"/>
                <w:szCs w:val="24"/>
                <w:highlight w:val="none"/>
              </w:rPr>
            </w:pPr>
          </w:p>
        </w:tc>
      </w:tr>
      <w:tr w14:paraId="52A1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jc w:val="center"/>
        </w:trPr>
        <w:tc>
          <w:tcPr>
            <w:tcW w:w="820" w:type="dxa"/>
            <w:vAlign w:val="center"/>
          </w:tcPr>
          <w:p w14:paraId="4EC4C7D8">
            <w:pPr>
              <w:pStyle w:val="9"/>
              <w:snapToGrid w:val="0"/>
              <w:spacing w:line="460" w:lineRule="exact"/>
              <w:jc w:val="center"/>
              <w:textAlignment w:val="baseline"/>
              <w:rPr>
                <w:rFonts w:hint="default"/>
                <w:color w:val="auto"/>
                <w:sz w:val="24"/>
                <w:szCs w:val="24"/>
                <w:highlight w:val="none"/>
                <w:lang w:val="en-US" w:eastAsia="zh-CN"/>
              </w:rPr>
            </w:pPr>
            <w:r>
              <w:rPr>
                <w:rFonts w:hint="eastAsia"/>
                <w:color w:val="auto"/>
                <w:sz w:val="24"/>
                <w:szCs w:val="24"/>
                <w:highlight w:val="none"/>
                <w:lang w:val="en-US" w:eastAsia="zh-CN"/>
              </w:rPr>
              <w:t>4</w:t>
            </w:r>
          </w:p>
        </w:tc>
        <w:tc>
          <w:tcPr>
            <w:tcW w:w="7340" w:type="dxa"/>
          </w:tcPr>
          <w:p w14:paraId="235D0328">
            <w:pPr>
              <w:pStyle w:val="10"/>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ascii="宋体" w:hAnsi="宋体" w:eastAsia="宋体" w:cs="宋体"/>
                <w:b/>
                <w:bCs/>
                <w:color w:val="auto"/>
                <w:sz w:val="24"/>
                <w:szCs w:val="24"/>
                <w:highlight w:val="none"/>
                <w:u w:val="none"/>
                <w:lang w:val="en-US" w:eastAsia="zh-CN" w:bidi="zh-CN"/>
              </w:rPr>
            </w:pPr>
            <w:r>
              <w:rPr>
                <w:rFonts w:hint="eastAsia" w:ascii="宋体" w:hAnsi="宋体" w:eastAsia="宋体" w:cs="宋体"/>
                <w:b/>
                <w:bCs/>
                <w:color w:val="auto"/>
                <w:sz w:val="24"/>
                <w:szCs w:val="24"/>
                <w:highlight w:val="none"/>
                <w:u w:val="none"/>
                <w:lang w:val="en-US" w:eastAsia="zh-CN" w:bidi="zh-CN"/>
              </w:rPr>
              <w:t>服务能力：</w:t>
            </w:r>
            <w:r>
              <w:rPr>
                <w:rFonts w:hint="eastAsia" w:ascii="宋体" w:hAnsi="宋体" w:eastAsia="宋体" w:cs="宋体"/>
                <w:color w:val="auto"/>
                <w:sz w:val="24"/>
                <w:szCs w:val="24"/>
                <w:highlight w:val="none"/>
                <w:u w:val="none"/>
                <w:lang w:val="en-US" w:eastAsia="zh-CN" w:bidi="zh-CN"/>
              </w:rPr>
              <w:t>近3年无因服务质量问题导致的合同纠纷或业主投诉（提供书面承诺函）</w:t>
            </w:r>
          </w:p>
        </w:tc>
        <w:tc>
          <w:tcPr>
            <w:tcW w:w="1140" w:type="dxa"/>
            <w:vMerge w:val="continue"/>
          </w:tcPr>
          <w:p w14:paraId="70812E11">
            <w:pPr>
              <w:pStyle w:val="9"/>
              <w:snapToGrid w:val="0"/>
              <w:spacing w:line="460" w:lineRule="exact"/>
              <w:ind w:firstLine="482" w:firstLineChars="200"/>
              <w:jc w:val="both"/>
              <w:textAlignment w:val="baseline"/>
              <w:rPr>
                <w:b/>
                <w:color w:val="auto"/>
                <w:sz w:val="24"/>
                <w:szCs w:val="24"/>
                <w:highlight w:val="none"/>
              </w:rPr>
            </w:pPr>
          </w:p>
        </w:tc>
      </w:tr>
      <w:tr w14:paraId="261E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3" w:hRule="atLeast"/>
          <w:jc w:val="center"/>
        </w:trPr>
        <w:tc>
          <w:tcPr>
            <w:tcW w:w="820" w:type="dxa"/>
            <w:vAlign w:val="center"/>
          </w:tcPr>
          <w:p w14:paraId="087627DC">
            <w:pPr>
              <w:pStyle w:val="9"/>
              <w:snapToGrid w:val="0"/>
              <w:spacing w:line="460" w:lineRule="exact"/>
              <w:jc w:val="center"/>
              <w:textAlignment w:val="baseline"/>
              <w:rPr>
                <w:rFonts w:hint="default"/>
                <w:color w:val="auto"/>
                <w:sz w:val="24"/>
                <w:szCs w:val="24"/>
                <w:highlight w:val="none"/>
                <w:lang w:val="en-US" w:eastAsia="zh-CN"/>
              </w:rPr>
            </w:pPr>
            <w:r>
              <w:rPr>
                <w:rFonts w:hint="eastAsia"/>
                <w:color w:val="auto"/>
                <w:sz w:val="24"/>
                <w:szCs w:val="24"/>
                <w:highlight w:val="none"/>
                <w:lang w:val="en-US" w:eastAsia="zh-CN"/>
              </w:rPr>
              <w:t>5</w:t>
            </w:r>
          </w:p>
        </w:tc>
        <w:tc>
          <w:tcPr>
            <w:tcW w:w="7340" w:type="dxa"/>
          </w:tcPr>
          <w:p w14:paraId="13E13EDB">
            <w:pPr>
              <w:pStyle w:val="10"/>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ascii="宋体" w:hAnsi="宋体" w:eastAsia="宋体" w:cs="宋体"/>
                <w:b/>
                <w:bCs/>
                <w:color w:val="auto"/>
                <w:sz w:val="24"/>
                <w:szCs w:val="24"/>
                <w:highlight w:val="none"/>
                <w:u w:val="none"/>
                <w:lang w:val="en-US" w:eastAsia="zh-CN" w:bidi="zh-CN"/>
              </w:rPr>
            </w:pPr>
            <w:r>
              <w:rPr>
                <w:rFonts w:hint="eastAsia" w:ascii="宋体" w:hAnsi="宋体" w:eastAsia="宋体" w:cs="宋体"/>
                <w:b/>
                <w:bCs/>
                <w:color w:val="auto"/>
                <w:sz w:val="24"/>
                <w:szCs w:val="24"/>
                <w:highlight w:val="none"/>
                <w:u w:val="none"/>
                <w:lang w:val="en-US" w:eastAsia="zh-CN" w:bidi="zh-CN"/>
              </w:rPr>
              <w:t>其他要求：</w:t>
            </w:r>
          </w:p>
          <w:p w14:paraId="272831B1">
            <w:pPr>
              <w:spacing w:line="280" w:lineRule="exact"/>
              <w:rPr>
                <w:rFonts w:hint="eastAsia" w:ascii="宋体" w:hAnsi="宋体" w:eastAsia="宋体" w:cs="宋体"/>
                <w:color w:val="auto"/>
                <w:sz w:val="24"/>
                <w:szCs w:val="24"/>
                <w:highlight w:val="none"/>
                <w:u w:val="none"/>
                <w:lang w:val="en-US" w:eastAsia="zh-CN" w:bidi="zh-CN"/>
              </w:rPr>
            </w:pPr>
            <w:r>
              <w:rPr>
                <w:rFonts w:hint="eastAsia" w:asciiTheme="majorEastAsia" w:hAnsiTheme="majorEastAsia" w:eastAsiaTheme="majorEastAsia"/>
                <w:sz w:val="21"/>
                <w:szCs w:val="21"/>
                <w:u w:val="single"/>
                <w:lang w:eastAsia="zh-CN"/>
              </w:rPr>
              <w:t>1</w:t>
            </w:r>
            <w:r>
              <w:rPr>
                <w:rFonts w:hint="eastAsia" w:ascii="宋体" w:hAnsi="宋体" w:eastAsia="宋体" w:cs="宋体"/>
                <w:color w:val="auto"/>
                <w:sz w:val="24"/>
                <w:szCs w:val="24"/>
                <w:highlight w:val="none"/>
                <w:u w:val="none"/>
                <w:lang w:val="en-US" w:eastAsia="zh-CN" w:bidi="zh-CN"/>
              </w:rPr>
              <w:t>.没有被依法暂停或取消投标资格；</w:t>
            </w:r>
          </w:p>
          <w:p w14:paraId="4C0716F6">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2.没有被责令停产停业、暂扣或者吊销许可证、暂扣或者吊销执照；</w:t>
            </w:r>
          </w:p>
          <w:p w14:paraId="4708B608">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3.没有进入清算程序，或被宣告破产，或其他丧失履约能力的情形；</w:t>
            </w:r>
          </w:p>
          <w:p w14:paraId="343C2281">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4.在最近三年内发生重大工程质量问题；</w:t>
            </w:r>
          </w:p>
          <w:p w14:paraId="0204814A">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5.在“国家企业信用信息公示系统”（www.gsxt.gov.cn）被列入严重违法失信企业名单；</w:t>
            </w:r>
          </w:p>
          <w:p w14:paraId="01E09FDF">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6.在“信用中国”网站（www.creditchina.gov.cn）被列入失信被执行人名单；</w:t>
            </w:r>
          </w:p>
          <w:p w14:paraId="2161D308">
            <w:pPr>
              <w:spacing w:line="280" w:lineRule="exact"/>
              <w:rPr>
                <w:rFonts w:hint="eastAsia" w:ascii="宋体" w:hAnsi="宋体" w:eastAsia="宋体" w:cs="宋体"/>
                <w:color w:val="auto"/>
                <w:sz w:val="24"/>
                <w:szCs w:val="24"/>
                <w:highlight w:val="none"/>
                <w:u w:val="none"/>
                <w:lang w:val="en-US" w:eastAsia="zh-CN" w:bidi="zh-CN"/>
              </w:rPr>
            </w:pPr>
            <w:r>
              <w:rPr>
                <w:rFonts w:hint="eastAsia" w:ascii="宋体" w:hAnsi="宋体" w:eastAsia="宋体" w:cs="宋体"/>
                <w:color w:val="auto"/>
                <w:sz w:val="24"/>
                <w:szCs w:val="24"/>
                <w:highlight w:val="none"/>
                <w:u w:val="none"/>
                <w:lang w:val="en-US" w:eastAsia="zh-CN" w:bidi="zh-CN"/>
              </w:rPr>
              <w:t>7.招标人或招标代理机构根据《拖欠农民工工资“黑名单”管理暂行办法》（人社部规【2017】16号）的规定，通过“信用中国”网站、国家企业信用信息公示系统等查询投标人是否被列入拖欠农民工工资“黑名单”，如果被列入取消其投标资格。</w:t>
            </w:r>
          </w:p>
          <w:p w14:paraId="24E4194E">
            <w:pPr>
              <w:pStyle w:val="10"/>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cs="宋体"/>
                <w:b w:val="0"/>
                <w:bCs w:val="0"/>
                <w:i w:val="0"/>
                <w:iCs w:val="0"/>
                <w:caps w:val="0"/>
                <w:color w:val="333333"/>
                <w:spacing w:val="0"/>
                <w:kern w:val="0"/>
                <w:sz w:val="27"/>
                <w:szCs w:val="27"/>
                <w:highlight w:val="none"/>
                <w:shd w:val="clear" w:color="auto" w:fill="FFFFFF"/>
                <w:lang w:val="en-US" w:eastAsia="zh-CN" w:bidi="ar"/>
              </w:rPr>
            </w:pPr>
            <w:r>
              <w:rPr>
                <w:rFonts w:hint="eastAsia" w:ascii="宋体" w:hAnsi="宋体" w:eastAsia="宋体" w:cs="宋体"/>
                <w:color w:val="auto"/>
                <w:sz w:val="24"/>
                <w:szCs w:val="24"/>
                <w:highlight w:val="none"/>
                <w:u w:val="none"/>
                <w:lang w:val="en-US" w:eastAsia="zh-CN" w:bidi="zh-CN"/>
              </w:rPr>
              <w:t>8.在近三年内投标人或其法定代表人、拟委任的项目负责人没有行贿犯罪行为；</w:t>
            </w:r>
          </w:p>
        </w:tc>
        <w:tc>
          <w:tcPr>
            <w:tcW w:w="1140" w:type="dxa"/>
            <w:vMerge w:val="continue"/>
          </w:tcPr>
          <w:p w14:paraId="1B5A52B7">
            <w:pPr>
              <w:pStyle w:val="9"/>
              <w:snapToGrid w:val="0"/>
              <w:spacing w:line="460" w:lineRule="exact"/>
              <w:ind w:firstLine="482" w:firstLineChars="200"/>
              <w:jc w:val="both"/>
              <w:textAlignment w:val="baseline"/>
              <w:rPr>
                <w:b/>
                <w:color w:val="auto"/>
                <w:sz w:val="24"/>
                <w:szCs w:val="24"/>
                <w:highlight w:val="none"/>
              </w:rPr>
            </w:pPr>
          </w:p>
        </w:tc>
      </w:tr>
    </w:tbl>
    <w:p w14:paraId="025CE7E8">
      <w:pPr>
        <w:snapToGrid w:val="0"/>
        <w:spacing w:line="460" w:lineRule="exact"/>
        <w:ind w:firstLine="482" w:firstLineChars="200"/>
        <w:jc w:val="both"/>
        <w:textAlignment w:val="baseline"/>
        <w:rPr>
          <w:rFonts w:hint="eastAsia"/>
          <w:b/>
          <w:color w:val="auto"/>
          <w:sz w:val="24"/>
          <w:szCs w:val="24"/>
          <w:highlight w:val="none"/>
        </w:rPr>
      </w:pPr>
    </w:p>
    <w:p w14:paraId="06485253">
      <w:pPr>
        <w:snapToGrid w:val="0"/>
        <w:spacing w:line="460" w:lineRule="exact"/>
        <w:ind w:firstLine="482" w:firstLineChars="200"/>
        <w:jc w:val="both"/>
        <w:textAlignment w:val="baseline"/>
        <w:rPr>
          <w:b/>
          <w:color w:val="auto"/>
          <w:sz w:val="24"/>
          <w:szCs w:val="24"/>
          <w:highlight w:val="none"/>
        </w:rPr>
      </w:pPr>
      <w:r>
        <w:rPr>
          <w:rFonts w:hint="eastAsia"/>
          <w:b/>
          <w:color w:val="auto"/>
          <w:sz w:val="24"/>
          <w:szCs w:val="24"/>
          <w:highlight w:val="none"/>
        </w:rPr>
        <w:t>二、评分办法</w:t>
      </w:r>
    </w:p>
    <w:p w14:paraId="5CE1DF1C">
      <w:pPr>
        <w:snapToGrid w:val="0"/>
        <w:spacing w:line="460" w:lineRule="exact"/>
        <w:ind w:firstLine="480" w:firstLineChars="200"/>
        <w:jc w:val="both"/>
        <w:textAlignment w:val="baseline"/>
        <w:rPr>
          <w:color w:val="auto"/>
          <w:sz w:val="24"/>
          <w:szCs w:val="24"/>
          <w:highlight w:val="none"/>
        </w:rPr>
      </w:pPr>
      <w:r>
        <w:rPr>
          <w:rFonts w:hint="eastAsia"/>
          <w:color w:val="auto"/>
          <w:sz w:val="24"/>
          <w:szCs w:val="24"/>
          <w:highlight w:val="none"/>
        </w:rPr>
        <w:t>本次评标采用综合评分法。综合评分法是指评标委员会根据招标文件的要求，对投标人进行综合评审，经评审后向招标人推荐不超过三名有排序的合格的中标候选人的一种评标办法。</w:t>
      </w:r>
    </w:p>
    <w:p w14:paraId="6A0C6665">
      <w:pPr>
        <w:snapToGrid w:val="0"/>
        <w:spacing w:line="460" w:lineRule="exact"/>
        <w:ind w:firstLine="480" w:firstLineChars="200"/>
        <w:jc w:val="both"/>
        <w:textAlignment w:val="baseline"/>
        <w:rPr>
          <w:color w:val="auto"/>
          <w:sz w:val="24"/>
          <w:szCs w:val="24"/>
          <w:highlight w:val="none"/>
        </w:rPr>
      </w:pPr>
      <w:r>
        <w:rPr>
          <w:rFonts w:hint="eastAsia"/>
          <w:color w:val="auto"/>
          <w:sz w:val="24"/>
          <w:szCs w:val="24"/>
          <w:highlight w:val="none"/>
        </w:rPr>
        <w:t>按投标人投标文件送达的先后</w:t>
      </w:r>
      <w:r>
        <w:rPr>
          <w:rFonts w:hint="eastAsia"/>
          <w:color w:val="auto"/>
          <w:sz w:val="24"/>
          <w:szCs w:val="24"/>
          <w:highlight w:val="none"/>
          <w:lang w:val="en-US"/>
        </w:rPr>
        <w:t>顺</w:t>
      </w:r>
      <w:r>
        <w:rPr>
          <w:rFonts w:hint="eastAsia"/>
          <w:color w:val="auto"/>
          <w:sz w:val="24"/>
          <w:szCs w:val="24"/>
          <w:highlight w:val="none"/>
        </w:rPr>
        <w:t>序开标。投标人的投标报价超过招标控制价的为废标。评标委员会将只对通过初步评审的投标文件进行评价和比较。</w:t>
      </w:r>
    </w:p>
    <w:p w14:paraId="5822A51E">
      <w:pPr>
        <w:snapToGrid w:val="0"/>
        <w:spacing w:line="460" w:lineRule="exact"/>
        <w:ind w:firstLine="480" w:firstLineChars="200"/>
        <w:jc w:val="both"/>
        <w:textAlignment w:val="baseline"/>
        <w:rPr>
          <w:color w:val="auto"/>
          <w:sz w:val="24"/>
          <w:szCs w:val="24"/>
          <w:highlight w:val="none"/>
        </w:rPr>
      </w:pPr>
      <w:r>
        <w:rPr>
          <w:rFonts w:hint="eastAsia"/>
          <w:color w:val="auto"/>
          <w:sz w:val="24"/>
          <w:szCs w:val="24"/>
          <w:highlight w:val="none"/>
        </w:rPr>
        <w:t>（一</w:t>
      </w:r>
      <w:r>
        <w:rPr>
          <w:rFonts w:hint="eastAsia"/>
          <w:color w:val="auto"/>
          <w:sz w:val="24"/>
          <w:szCs w:val="24"/>
          <w:highlight w:val="none"/>
          <w:lang w:eastAsia="zh-CN"/>
        </w:rPr>
        <w:t>）</w:t>
      </w:r>
      <w:r>
        <w:rPr>
          <w:rFonts w:hint="eastAsia"/>
          <w:color w:val="auto"/>
          <w:sz w:val="24"/>
          <w:szCs w:val="24"/>
          <w:highlight w:val="none"/>
        </w:rPr>
        <w:t>评分标准（总分100分）投标的综合得分为：</w:t>
      </w:r>
    </w:p>
    <w:tbl>
      <w:tblPr>
        <w:tblStyle w:val="6"/>
        <w:tblW w:w="5000" w:type="pct"/>
        <w:tblInd w:w="0" w:type="dxa"/>
        <w:tblLayout w:type="autofit"/>
        <w:tblCellMar>
          <w:top w:w="0" w:type="dxa"/>
          <w:left w:w="108" w:type="dxa"/>
          <w:bottom w:w="0" w:type="dxa"/>
          <w:right w:w="108" w:type="dxa"/>
        </w:tblCellMar>
      </w:tblPr>
      <w:tblGrid>
        <w:gridCol w:w="1218"/>
        <w:gridCol w:w="1279"/>
        <w:gridCol w:w="866"/>
        <w:gridCol w:w="5159"/>
      </w:tblGrid>
      <w:tr w14:paraId="2CC05F5B">
        <w:tblPrEx>
          <w:tblCellMar>
            <w:top w:w="0" w:type="dxa"/>
            <w:left w:w="108" w:type="dxa"/>
            <w:bottom w:w="0" w:type="dxa"/>
            <w:right w:w="108" w:type="dxa"/>
          </w:tblCellMar>
        </w:tblPrEx>
        <w:trPr>
          <w:trHeight w:val="776" w:hRule="atLeast"/>
        </w:trPr>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0A6EE074">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b/>
                <w:bCs/>
                <w:sz w:val="24"/>
                <w:szCs w:val="32"/>
                <w:lang w:val="en-US" w:eastAsia="zh-CN" w:bidi="zh-CN"/>
              </w:rPr>
            </w:pPr>
            <w:r>
              <w:rPr>
                <w:rFonts w:hint="eastAsia" w:ascii="宋体" w:hAnsi="宋体" w:eastAsia="宋体" w:cs="宋体"/>
                <w:b/>
                <w:bCs/>
                <w:sz w:val="24"/>
                <w:szCs w:val="32"/>
                <w:lang w:val="en-US" w:eastAsia="zh-CN" w:bidi="zh-CN"/>
              </w:rPr>
              <w:t>评分类别</w:t>
            </w:r>
          </w:p>
        </w:tc>
        <w:tc>
          <w:tcPr>
            <w:tcW w:w="750" w:type="pct"/>
            <w:tcBorders>
              <w:top w:val="single" w:color="auto" w:sz="4" w:space="0"/>
              <w:left w:val="nil"/>
              <w:bottom w:val="single" w:color="auto" w:sz="4" w:space="0"/>
              <w:right w:val="single" w:color="auto" w:sz="4" w:space="0"/>
            </w:tcBorders>
            <w:shd w:val="clear" w:color="auto" w:fill="auto"/>
            <w:vAlign w:val="center"/>
          </w:tcPr>
          <w:p w14:paraId="5AA56CA0">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b/>
                <w:bCs/>
                <w:sz w:val="24"/>
                <w:szCs w:val="32"/>
                <w:lang w:val="en-US" w:eastAsia="zh-CN" w:bidi="zh-CN"/>
              </w:rPr>
            </w:pPr>
            <w:r>
              <w:rPr>
                <w:rFonts w:hint="eastAsia" w:ascii="宋体" w:hAnsi="宋体" w:eastAsia="宋体" w:cs="宋体"/>
                <w:b/>
                <w:bCs/>
                <w:sz w:val="24"/>
                <w:szCs w:val="32"/>
                <w:lang w:val="en-US" w:eastAsia="zh-CN" w:bidi="zh-CN"/>
              </w:rPr>
              <w:t>评分要素</w:t>
            </w:r>
          </w:p>
        </w:tc>
        <w:tc>
          <w:tcPr>
            <w:tcW w:w="508" w:type="pct"/>
            <w:tcBorders>
              <w:top w:val="single" w:color="auto" w:sz="4" w:space="0"/>
              <w:left w:val="nil"/>
              <w:bottom w:val="single" w:color="auto" w:sz="4" w:space="0"/>
              <w:right w:val="single" w:color="auto" w:sz="4" w:space="0"/>
            </w:tcBorders>
            <w:shd w:val="clear" w:color="auto" w:fill="auto"/>
            <w:vAlign w:val="center"/>
          </w:tcPr>
          <w:p w14:paraId="17450F98">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b/>
                <w:bCs/>
                <w:sz w:val="24"/>
                <w:szCs w:val="32"/>
                <w:lang w:val="en-US" w:eastAsia="zh-CN" w:bidi="zh-CN"/>
              </w:rPr>
            </w:pPr>
            <w:r>
              <w:rPr>
                <w:rFonts w:hint="eastAsia" w:ascii="宋体" w:hAnsi="宋体" w:eastAsia="宋体" w:cs="宋体"/>
                <w:b/>
                <w:bCs/>
                <w:sz w:val="24"/>
                <w:szCs w:val="32"/>
                <w:lang w:val="en-US" w:eastAsia="zh-CN" w:bidi="zh-CN"/>
              </w:rPr>
              <w:t>分值</w:t>
            </w:r>
          </w:p>
        </w:tc>
        <w:tc>
          <w:tcPr>
            <w:tcW w:w="3026" w:type="pct"/>
            <w:tcBorders>
              <w:top w:val="single" w:color="auto" w:sz="4" w:space="0"/>
              <w:left w:val="nil"/>
              <w:bottom w:val="single" w:color="auto" w:sz="4" w:space="0"/>
              <w:right w:val="single" w:color="auto" w:sz="4" w:space="0"/>
            </w:tcBorders>
            <w:shd w:val="clear" w:color="auto" w:fill="auto"/>
            <w:vAlign w:val="center"/>
          </w:tcPr>
          <w:p w14:paraId="4F73E90C">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b/>
                <w:bCs/>
                <w:sz w:val="24"/>
                <w:szCs w:val="32"/>
                <w:lang w:val="en-US" w:eastAsia="zh-CN" w:bidi="zh-CN"/>
              </w:rPr>
            </w:pPr>
            <w:r>
              <w:rPr>
                <w:rFonts w:hint="eastAsia" w:ascii="宋体" w:hAnsi="宋体" w:eastAsia="宋体" w:cs="宋体"/>
                <w:b/>
                <w:bCs/>
                <w:sz w:val="24"/>
                <w:szCs w:val="32"/>
                <w:lang w:val="en-US" w:eastAsia="zh-CN" w:bidi="zh-CN"/>
              </w:rPr>
              <w:t>具体评审细则</w:t>
            </w:r>
          </w:p>
        </w:tc>
      </w:tr>
      <w:tr w14:paraId="0E2578A6">
        <w:tblPrEx>
          <w:tblCellMar>
            <w:top w:w="0" w:type="dxa"/>
            <w:left w:w="108" w:type="dxa"/>
            <w:bottom w:w="0" w:type="dxa"/>
            <w:right w:w="108" w:type="dxa"/>
          </w:tblCellMar>
        </w:tblPrEx>
        <w:trPr>
          <w:trHeight w:val="1890" w:hRule="atLeast"/>
        </w:trPr>
        <w:tc>
          <w:tcPr>
            <w:tcW w:w="715" w:type="pct"/>
            <w:tcBorders>
              <w:top w:val="nil"/>
              <w:left w:val="single" w:color="auto" w:sz="4" w:space="0"/>
              <w:bottom w:val="single" w:color="auto" w:sz="4" w:space="0"/>
              <w:right w:val="single" w:color="auto" w:sz="4" w:space="0"/>
            </w:tcBorders>
            <w:shd w:val="clear" w:color="auto" w:fill="auto"/>
            <w:vAlign w:val="center"/>
          </w:tcPr>
          <w:p w14:paraId="6B16F269">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价格部分</w:t>
            </w:r>
          </w:p>
          <w:p w14:paraId="6A5E8381">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40分</w:t>
            </w:r>
          </w:p>
        </w:tc>
        <w:tc>
          <w:tcPr>
            <w:tcW w:w="750" w:type="pct"/>
            <w:tcBorders>
              <w:top w:val="nil"/>
              <w:left w:val="nil"/>
              <w:bottom w:val="single" w:color="auto" w:sz="4" w:space="0"/>
              <w:right w:val="single" w:color="auto" w:sz="4" w:space="0"/>
            </w:tcBorders>
            <w:shd w:val="clear" w:color="auto" w:fill="auto"/>
            <w:vAlign w:val="center"/>
          </w:tcPr>
          <w:p w14:paraId="46E7D24A">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价格分</w:t>
            </w:r>
          </w:p>
        </w:tc>
        <w:tc>
          <w:tcPr>
            <w:tcW w:w="508" w:type="pct"/>
            <w:tcBorders>
              <w:top w:val="nil"/>
              <w:left w:val="nil"/>
              <w:bottom w:val="single" w:color="auto" w:sz="4" w:space="0"/>
              <w:right w:val="single" w:color="auto" w:sz="4" w:space="0"/>
            </w:tcBorders>
            <w:shd w:val="clear" w:color="auto" w:fill="auto"/>
            <w:vAlign w:val="center"/>
          </w:tcPr>
          <w:p w14:paraId="467B4656">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40分</w:t>
            </w:r>
          </w:p>
        </w:tc>
        <w:tc>
          <w:tcPr>
            <w:tcW w:w="3026" w:type="pct"/>
            <w:tcBorders>
              <w:top w:val="nil"/>
              <w:left w:val="nil"/>
              <w:bottom w:val="single" w:color="auto" w:sz="4" w:space="0"/>
              <w:right w:val="single" w:color="auto" w:sz="4" w:space="0"/>
            </w:tcBorders>
            <w:shd w:val="clear" w:color="auto" w:fill="auto"/>
            <w:vAlign w:val="center"/>
          </w:tcPr>
          <w:p w14:paraId="024628D6">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当N＜10家时，计算全部有效投标报价的算术平均值，作为评标基准价。当10≤N＜20家时，先将有效投标报价由低到高排序，去除最高和最低投标报价后的剩余投标报价，计算算术平均值，作为评标基准价。（N指的是通过资格审查的、进入综合评分环节的投标人数量）</w:t>
            </w:r>
          </w:p>
          <w:p w14:paraId="58995A2E">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投标人报价等于评标基准价得满分40分；投标人报价比评标基准价每高出1%扣</w:t>
            </w:r>
            <w:r>
              <w:rPr>
                <w:rFonts w:hint="eastAsia" w:cs="宋体"/>
                <w:sz w:val="24"/>
                <w:szCs w:val="32"/>
                <w:highlight w:val="none"/>
                <w:lang w:val="en-US" w:eastAsia="zh-CN" w:bidi="zh-CN"/>
              </w:rPr>
              <w:t>1</w:t>
            </w:r>
            <w:r>
              <w:rPr>
                <w:rFonts w:hint="eastAsia" w:ascii="宋体" w:hAnsi="宋体" w:eastAsia="宋体" w:cs="宋体"/>
                <w:sz w:val="24"/>
                <w:szCs w:val="32"/>
                <w:highlight w:val="none"/>
                <w:lang w:val="en-US" w:eastAsia="zh-CN" w:bidi="zh-CN"/>
              </w:rPr>
              <w:t>.</w:t>
            </w:r>
            <w:r>
              <w:rPr>
                <w:rFonts w:hint="eastAsia" w:cs="宋体"/>
                <w:sz w:val="24"/>
                <w:szCs w:val="32"/>
                <w:highlight w:val="none"/>
                <w:lang w:val="en-US" w:eastAsia="zh-CN" w:bidi="zh-CN"/>
              </w:rPr>
              <w:t>5</w:t>
            </w:r>
            <w:r>
              <w:rPr>
                <w:rFonts w:hint="eastAsia" w:ascii="宋体" w:hAnsi="宋体" w:eastAsia="宋体" w:cs="宋体"/>
                <w:sz w:val="24"/>
                <w:szCs w:val="32"/>
                <w:highlight w:val="none"/>
                <w:lang w:val="en-US" w:eastAsia="zh-CN" w:bidi="zh-CN"/>
              </w:rPr>
              <w:t>分，扣完为止；投标人报价比评标基准价每低1%扣0.</w:t>
            </w:r>
            <w:r>
              <w:rPr>
                <w:rFonts w:hint="eastAsia" w:cs="宋体"/>
                <w:sz w:val="24"/>
                <w:szCs w:val="32"/>
                <w:highlight w:val="none"/>
                <w:lang w:val="en-US" w:eastAsia="zh-CN" w:bidi="zh-CN"/>
              </w:rPr>
              <w:t>5</w:t>
            </w:r>
            <w:r>
              <w:rPr>
                <w:rFonts w:hint="eastAsia" w:ascii="宋体" w:hAnsi="宋体" w:eastAsia="宋体" w:cs="宋体"/>
                <w:sz w:val="24"/>
                <w:szCs w:val="32"/>
                <w:lang w:val="en-US" w:eastAsia="zh-CN" w:bidi="zh-CN"/>
              </w:rPr>
              <w:t>分，扣完为止；由此得出各投标人的投标报价得分（保留小数点后两位数字，第三位四舍五入），投标价得分的计算方法：40-丨（评标基准价-投标人报价）/评标基准价丨×100×E，E取值</w:t>
            </w:r>
            <w:r>
              <w:rPr>
                <w:rFonts w:hint="eastAsia" w:cs="宋体"/>
                <w:sz w:val="24"/>
                <w:szCs w:val="32"/>
                <w:lang w:val="en-US" w:eastAsia="zh-CN" w:bidi="zh-CN"/>
              </w:rPr>
              <w:t>1.5</w:t>
            </w:r>
            <w:r>
              <w:rPr>
                <w:rFonts w:hint="eastAsia" w:ascii="宋体" w:hAnsi="宋体" w:eastAsia="宋体" w:cs="宋体"/>
                <w:sz w:val="24"/>
                <w:szCs w:val="32"/>
                <w:lang w:val="en-US" w:eastAsia="zh-CN" w:bidi="zh-CN"/>
              </w:rPr>
              <w:t>或0.</w:t>
            </w:r>
            <w:r>
              <w:rPr>
                <w:rFonts w:hint="eastAsia" w:cs="宋体"/>
                <w:sz w:val="24"/>
                <w:szCs w:val="32"/>
                <w:lang w:val="en-US" w:eastAsia="zh-CN" w:bidi="zh-CN"/>
              </w:rPr>
              <w:t>5</w:t>
            </w:r>
            <w:r>
              <w:rPr>
                <w:rFonts w:hint="eastAsia" w:ascii="宋体" w:hAnsi="宋体" w:eastAsia="宋体" w:cs="宋体"/>
                <w:sz w:val="24"/>
                <w:szCs w:val="32"/>
                <w:lang w:val="en-US" w:eastAsia="zh-CN" w:bidi="zh-CN"/>
              </w:rPr>
              <w:t>。</w:t>
            </w:r>
          </w:p>
        </w:tc>
      </w:tr>
      <w:tr w14:paraId="0D91E2FA">
        <w:tblPrEx>
          <w:tblCellMar>
            <w:top w:w="0" w:type="dxa"/>
            <w:left w:w="108" w:type="dxa"/>
            <w:bottom w:w="0" w:type="dxa"/>
            <w:right w:w="108" w:type="dxa"/>
          </w:tblCellMar>
        </w:tblPrEx>
        <w:trPr>
          <w:trHeight w:val="810" w:hRule="atLeast"/>
        </w:trPr>
        <w:tc>
          <w:tcPr>
            <w:tcW w:w="715" w:type="pct"/>
            <w:vMerge w:val="restart"/>
            <w:tcBorders>
              <w:top w:val="nil"/>
              <w:left w:val="single" w:color="auto" w:sz="4" w:space="0"/>
              <w:bottom w:val="single" w:color="000000" w:sz="4" w:space="0"/>
              <w:right w:val="single" w:color="auto" w:sz="4" w:space="0"/>
            </w:tcBorders>
            <w:shd w:val="clear" w:color="auto" w:fill="auto"/>
            <w:vAlign w:val="center"/>
          </w:tcPr>
          <w:p w14:paraId="4E922BEE">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技术部分</w:t>
            </w:r>
          </w:p>
          <w:p w14:paraId="58AC2911">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40分</w:t>
            </w:r>
          </w:p>
        </w:tc>
        <w:tc>
          <w:tcPr>
            <w:tcW w:w="750" w:type="pct"/>
            <w:tcBorders>
              <w:top w:val="nil"/>
              <w:left w:val="nil"/>
              <w:bottom w:val="single" w:color="auto" w:sz="4" w:space="0"/>
              <w:right w:val="single" w:color="auto" w:sz="4" w:space="0"/>
            </w:tcBorders>
            <w:shd w:val="clear" w:color="auto" w:fill="auto"/>
            <w:vAlign w:val="center"/>
          </w:tcPr>
          <w:p w14:paraId="5FB068AF">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项目理解与工作思路</w:t>
            </w:r>
          </w:p>
        </w:tc>
        <w:tc>
          <w:tcPr>
            <w:tcW w:w="508" w:type="pct"/>
            <w:tcBorders>
              <w:top w:val="nil"/>
              <w:left w:val="nil"/>
              <w:bottom w:val="single" w:color="auto" w:sz="4" w:space="0"/>
              <w:right w:val="single" w:color="auto" w:sz="4" w:space="0"/>
            </w:tcBorders>
            <w:shd w:val="clear" w:color="auto" w:fill="auto"/>
            <w:vAlign w:val="center"/>
          </w:tcPr>
          <w:p w14:paraId="0DACF6EA">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5分</w:t>
            </w:r>
          </w:p>
        </w:tc>
        <w:tc>
          <w:tcPr>
            <w:tcW w:w="3026" w:type="pct"/>
            <w:tcBorders>
              <w:top w:val="nil"/>
              <w:left w:val="nil"/>
              <w:bottom w:val="single" w:color="auto" w:sz="4" w:space="0"/>
              <w:right w:val="single" w:color="auto" w:sz="4" w:space="0"/>
            </w:tcBorders>
            <w:shd w:val="clear" w:color="auto" w:fill="auto"/>
            <w:vAlign w:val="center"/>
          </w:tcPr>
          <w:p w14:paraId="3F8933B8">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对项目的理解、定位及整体概念性规划思路贴合项目需求和区域文旅发展方向，差1分、中2-4分、优5分。</w:t>
            </w:r>
          </w:p>
        </w:tc>
      </w:tr>
      <w:tr w14:paraId="1B4CC9E2">
        <w:tblPrEx>
          <w:tblCellMar>
            <w:top w:w="0" w:type="dxa"/>
            <w:left w:w="108" w:type="dxa"/>
            <w:bottom w:w="0" w:type="dxa"/>
            <w:right w:w="108" w:type="dxa"/>
          </w:tblCellMar>
        </w:tblPrEx>
        <w:trPr>
          <w:trHeight w:val="810" w:hRule="atLeast"/>
        </w:trPr>
        <w:tc>
          <w:tcPr>
            <w:tcW w:w="715" w:type="pct"/>
            <w:vMerge w:val="continue"/>
            <w:tcBorders>
              <w:top w:val="nil"/>
              <w:left w:val="single" w:color="auto" w:sz="4" w:space="0"/>
              <w:bottom w:val="single" w:color="000000" w:sz="4" w:space="0"/>
              <w:right w:val="single" w:color="auto" w:sz="4" w:space="0"/>
            </w:tcBorders>
            <w:shd w:val="clear" w:color="auto" w:fill="auto"/>
            <w:vAlign w:val="center"/>
          </w:tcPr>
          <w:p w14:paraId="30BD4F16">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single" w:color="auto" w:sz="4" w:space="0"/>
              <w:left w:val="single" w:color="auto" w:sz="4" w:space="0"/>
              <w:bottom w:val="single" w:color="auto" w:sz="4" w:space="0"/>
              <w:right w:val="single" w:color="auto" w:sz="4" w:space="0"/>
            </w:tcBorders>
            <w:shd w:val="clear" w:color="auto" w:fill="auto"/>
            <w:vAlign w:val="center"/>
          </w:tcPr>
          <w:p w14:paraId="698FD6A8">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可研方案</w:t>
            </w:r>
          </w:p>
        </w:tc>
        <w:tc>
          <w:tcPr>
            <w:tcW w:w="508" w:type="pct"/>
            <w:tcBorders>
              <w:top w:val="nil"/>
              <w:left w:val="nil"/>
              <w:bottom w:val="single" w:color="auto" w:sz="4" w:space="0"/>
              <w:right w:val="single" w:color="auto" w:sz="4" w:space="0"/>
            </w:tcBorders>
            <w:shd w:val="clear" w:color="auto" w:fill="auto"/>
            <w:vAlign w:val="center"/>
          </w:tcPr>
          <w:p w14:paraId="4E2AD8CD">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15分</w:t>
            </w:r>
          </w:p>
        </w:tc>
        <w:tc>
          <w:tcPr>
            <w:tcW w:w="3026" w:type="pct"/>
            <w:tcBorders>
              <w:top w:val="nil"/>
              <w:left w:val="nil"/>
              <w:bottom w:val="single" w:color="auto" w:sz="4" w:space="0"/>
              <w:right w:val="single" w:color="auto" w:sz="4" w:space="0"/>
            </w:tcBorders>
            <w:shd w:val="clear" w:color="auto" w:fill="auto"/>
            <w:vAlign w:val="center"/>
          </w:tcPr>
          <w:p w14:paraId="5CCC0E48">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梳理项目总体思路，对项目的重点、难点分析进行说明，提出相对应思路，要求有多方案对比，差0分、中1-10分、优11-15分。</w:t>
            </w:r>
          </w:p>
        </w:tc>
      </w:tr>
      <w:tr w14:paraId="337ACB90">
        <w:tblPrEx>
          <w:tblCellMar>
            <w:top w:w="0" w:type="dxa"/>
            <w:left w:w="108" w:type="dxa"/>
            <w:bottom w:w="0" w:type="dxa"/>
            <w:right w:w="108" w:type="dxa"/>
          </w:tblCellMar>
        </w:tblPrEx>
        <w:trPr>
          <w:trHeight w:val="810" w:hRule="atLeast"/>
        </w:trPr>
        <w:tc>
          <w:tcPr>
            <w:tcW w:w="715" w:type="pct"/>
            <w:vMerge w:val="continue"/>
            <w:tcBorders>
              <w:top w:val="nil"/>
              <w:left w:val="single" w:color="auto" w:sz="4" w:space="0"/>
              <w:bottom w:val="single" w:color="000000" w:sz="4" w:space="0"/>
              <w:right w:val="single" w:color="auto" w:sz="4" w:space="0"/>
            </w:tcBorders>
            <w:vAlign w:val="center"/>
          </w:tcPr>
          <w:p w14:paraId="0FF69C31">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single" w:color="auto" w:sz="4" w:space="0"/>
              <w:left w:val="single" w:color="auto" w:sz="4" w:space="0"/>
              <w:bottom w:val="single" w:color="auto" w:sz="4" w:space="0"/>
              <w:right w:val="single" w:color="auto" w:sz="4" w:space="0"/>
            </w:tcBorders>
            <w:shd w:val="clear" w:color="auto" w:fill="auto"/>
            <w:vAlign w:val="center"/>
          </w:tcPr>
          <w:p w14:paraId="7BEEA3BA">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项目规划</w:t>
            </w:r>
          </w:p>
          <w:p w14:paraId="02D2BBED">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特色</w:t>
            </w:r>
          </w:p>
        </w:tc>
        <w:tc>
          <w:tcPr>
            <w:tcW w:w="508" w:type="pct"/>
            <w:tcBorders>
              <w:top w:val="nil"/>
              <w:left w:val="nil"/>
              <w:bottom w:val="single" w:color="auto" w:sz="4" w:space="0"/>
              <w:right w:val="single" w:color="auto" w:sz="4" w:space="0"/>
            </w:tcBorders>
            <w:shd w:val="clear" w:color="auto" w:fill="auto"/>
            <w:vAlign w:val="center"/>
          </w:tcPr>
          <w:p w14:paraId="69802872">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5分</w:t>
            </w:r>
          </w:p>
        </w:tc>
        <w:tc>
          <w:tcPr>
            <w:tcW w:w="3026" w:type="pct"/>
            <w:tcBorders>
              <w:top w:val="nil"/>
              <w:left w:val="nil"/>
              <w:bottom w:val="single" w:color="auto" w:sz="4" w:space="0"/>
              <w:right w:val="single" w:color="auto" w:sz="4" w:space="0"/>
            </w:tcBorders>
            <w:shd w:val="clear" w:color="auto" w:fill="auto"/>
            <w:vAlign w:val="center"/>
          </w:tcPr>
          <w:p w14:paraId="749C83D7">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结合文旅资源、文旅体商融合特点提出规划设计特色及亮点，贴合黄石本地文旅产业发展，差0-1分、中2-4分、优5分。</w:t>
            </w:r>
          </w:p>
        </w:tc>
      </w:tr>
      <w:tr w14:paraId="0FA5AB31">
        <w:tblPrEx>
          <w:tblCellMar>
            <w:top w:w="0" w:type="dxa"/>
            <w:left w:w="108" w:type="dxa"/>
            <w:bottom w:w="0" w:type="dxa"/>
            <w:right w:w="108" w:type="dxa"/>
          </w:tblCellMar>
        </w:tblPrEx>
        <w:trPr>
          <w:trHeight w:val="810" w:hRule="atLeast"/>
        </w:trPr>
        <w:tc>
          <w:tcPr>
            <w:tcW w:w="715" w:type="pct"/>
            <w:vMerge w:val="continue"/>
            <w:tcBorders>
              <w:top w:val="nil"/>
              <w:left w:val="single" w:color="auto" w:sz="4" w:space="0"/>
              <w:bottom w:val="single" w:color="000000" w:sz="4" w:space="0"/>
              <w:right w:val="single" w:color="auto" w:sz="4" w:space="0"/>
            </w:tcBorders>
            <w:vAlign w:val="center"/>
          </w:tcPr>
          <w:p w14:paraId="08E021EA">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single" w:color="auto" w:sz="4" w:space="0"/>
              <w:left w:val="nil"/>
              <w:bottom w:val="single" w:color="auto" w:sz="4" w:space="0"/>
              <w:right w:val="single" w:color="auto" w:sz="4" w:space="0"/>
            </w:tcBorders>
            <w:shd w:val="clear" w:color="auto" w:fill="auto"/>
            <w:vAlign w:val="center"/>
          </w:tcPr>
          <w:p w14:paraId="1981D63E">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可研报告编制思路与框架</w:t>
            </w:r>
          </w:p>
        </w:tc>
        <w:tc>
          <w:tcPr>
            <w:tcW w:w="508" w:type="pct"/>
            <w:tcBorders>
              <w:top w:val="nil"/>
              <w:left w:val="nil"/>
              <w:bottom w:val="single" w:color="auto" w:sz="4" w:space="0"/>
              <w:right w:val="single" w:color="auto" w:sz="4" w:space="0"/>
            </w:tcBorders>
            <w:shd w:val="clear" w:color="auto" w:fill="auto"/>
            <w:vAlign w:val="center"/>
          </w:tcPr>
          <w:p w14:paraId="2504BFE6">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10分</w:t>
            </w:r>
          </w:p>
        </w:tc>
        <w:tc>
          <w:tcPr>
            <w:tcW w:w="3026" w:type="pct"/>
            <w:tcBorders>
              <w:top w:val="nil"/>
              <w:left w:val="nil"/>
              <w:bottom w:val="single" w:color="auto" w:sz="4" w:space="0"/>
              <w:right w:val="single" w:color="auto" w:sz="4" w:space="0"/>
            </w:tcBorders>
            <w:shd w:val="clear" w:color="auto" w:fill="auto"/>
            <w:vAlign w:val="center"/>
          </w:tcPr>
          <w:p w14:paraId="424296F2">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可行性研究报告的编制思路清晰、框架完整，能覆盖技术、市场、财务、风险等核心维度，差0-2分、中3-8分、优9-10分。</w:t>
            </w:r>
          </w:p>
        </w:tc>
      </w:tr>
      <w:tr w14:paraId="7754DF21">
        <w:tblPrEx>
          <w:tblCellMar>
            <w:top w:w="0" w:type="dxa"/>
            <w:left w:w="108" w:type="dxa"/>
            <w:bottom w:w="0" w:type="dxa"/>
            <w:right w:w="108" w:type="dxa"/>
          </w:tblCellMar>
        </w:tblPrEx>
        <w:trPr>
          <w:trHeight w:val="810" w:hRule="atLeast"/>
        </w:trPr>
        <w:tc>
          <w:tcPr>
            <w:tcW w:w="715" w:type="pct"/>
            <w:vMerge w:val="continue"/>
            <w:tcBorders>
              <w:top w:val="nil"/>
              <w:left w:val="single" w:color="auto" w:sz="4" w:space="0"/>
              <w:bottom w:val="single" w:color="000000" w:sz="4" w:space="0"/>
              <w:right w:val="single" w:color="auto" w:sz="4" w:space="0"/>
            </w:tcBorders>
            <w:vAlign w:val="center"/>
          </w:tcPr>
          <w:p w14:paraId="0383ADEA">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single" w:color="auto" w:sz="4" w:space="0"/>
              <w:left w:val="single" w:color="auto" w:sz="4" w:space="0"/>
              <w:bottom w:val="single" w:color="auto" w:sz="4" w:space="0"/>
              <w:right w:val="single" w:color="auto" w:sz="4" w:space="0"/>
            </w:tcBorders>
            <w:shd w:val="clear" w:color="auto" w:fill="auto"/>
            <w:vAlign w:val="center"/>
          </w:tcPr>
          <w:p w14:paraId="6DB3A965">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服务进度与质量保障措施</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20767B28">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5分</w:t>
            </w:r>
          </w:p>
        </w:tc>
        <w:tc>
          <w:tcPr>
            <w:tcW w:w="3026" w:type="pct"/>
            <w:tcBorders>
              <w:top w:val="single" w:color="auto" w:sz="4" w:space="0"/>
              <w:left w:val="single" w:color="auto" w:sz="4" w:space="0"/>
              <w:bottom w:val="single" w:color="auto" w:sz="4" w:space="0"/>
              <w:right w:val="single" w:color="auto" w:sz="4" w:space="0"/>
            </w:tcBorders>
            <w:shd w:val="clear" w:color="auto" w:fill="auto"/>
            <w:vAlign w:val="center"/>
          </w:tcPr>
          <w:p w14:paraId="7C5F83EC">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制定的项目服务进度计划贴合招标文件要求，质量、进度保障措施可行、完善，差0分、中1-4分、优5分。</w:t>
            </w:r>
          </w:p>
        </w:tc>
      </w:tr>
      <w:tr w14:paraId="78DF3DF9">
        <w:tblPrEx>
          <w:tblCellMar>
            <w:top w:w="0" w:type="dxa"/>
            <w:left w:w="108" w:type="dxa"/>
            <w:bottom w:w="0" w:type="dxa"/>
            <w:right w:w="108" w:type="dxa"/>
          </w:tblCellMar>
        </w:tblPrEx>
        <w:trPr>
          <w:trHeight w:val="540" w:hRule="atLeast"/>
        </w:trPr>
        <w:tc>
          <w:tcPr>
            <w:tcW w:w="715" w:type="pct"/>
            <w:vMerge w:val="restart"/>
            <w:tcBorders>
              <w:top w:val="nil"/>
              <w:left w:val="single" w:color="auto" w:sz="4" w:space="0"/>
              <w:bottom w:val="single" w:color="000000" w:sz="4" w:space="0"/>
              <w:right w:val="single" w:color="auto" w:sz="4" w:space="0"/>
            </w:tcBorders>
            <w:shd w:val="clear" w:color="auto" w:fill="auto"/>
            <w:vAlign w:val="center"/>
          </w:tcPr>
          <w:p w14:paraId="0E00F27F">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商务部分</w:t>
            </w:r>
          </w:p>
          <w:p w14:paraId="5563AF34">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20分</w:t>
            </w:r>
          </w:p>
        </w:tc>
        <w:tc>
          <w:tcPr>
            <w:tcW w:w="750" w:type="pct"/>
            <w:tcBorders>
              <w:top w:val="single" w:color="auto" w:sz="4" w:space="0"/>
              <w:left w:val="nil"/>
              <w:bottom w:val="single" w:color="auto" w:sz="4" w:space="0"/>
              <w:right w:val="single" w:color="auto" w:sz="4" w:space="0"/>
            </w:tcBorders>
            <w:shd w:val="clear" w:color="auto" w:fill="auto"/>
            <w:vAlign w:val="center"/>
          </w:tcPr>
          <w:p w14:paraId="6C453927">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企业业绩</w:t>
            </w:r>
          </w:p>
        </w:tc>
        <w:tc>
          <w:tcPr>
            <w:tcW w:w="508" w:type="pct"/>
            <w:tcBorders>
              <w:top w:val="single" w:color="auto" w:sz="4" w:space="0"/>
              <w:left w:val="nil"/>
              <w:bottom w:val="single" w:color="auto" w:sz="4" w:space="0"/>
              <w:right w:val="single" w:color="auto" w:sz="4" w:space="0"/>
            </w:tcBorders>
            <w:shd w:val="clear" w:color="auto" w:fill="auto"/>
            <w:vAlign w:val="center"/>
          </w:tcPr>
          <w:p w14:paraId="36AE7026">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cs="宋体"/>
                <w:sz w:val="24"/>
                <w:szCs w:val="32"/>
                <w:lang w:val="en-US" w:eastAsia="zh-CN" w:bidi="zh-CN"/>
              </w:rPr>
              <w:t>10</w:t>
            </w:r>
            <w:r>
              <w:rPr>
                <w:rFonts w:hint="eastAsia" w:ascii="宋体" w:hAnsi="宋体" w:eastAsia="宋体" w:cs="宋体"/>
                <w:sz w:val="24"/>
                <w:szCs w:val="32"/>
                <w:lang w:val="en-US" w:eastAsia="zh-CN" w:bidi="zh-CN"/>
              </w:rPr>
              <w:t>分</w:t>
            </w:r>
          </w:p>
        </w:tc>
        <w:tc>
          <w:tcPr>
            <w:tcW w:w="3026" w:type="pct"/>
            <w:tcBorders>
              <w:top w:val="single" w:color="auto" w:sz="4" w:space="0"/>
              <w:left w:val="nil"/>
              <w:bottom w:val="single" w:color="auto" w:sz="4" w:space="0"/>
              <w:right w:val="single" w:color="auto" w:sz="4" w:space="0"/>
            </w:tcBorders>
            <w:shd w:val="clear" w:color="auto" w:fill="auto"/>
            <w:vAlign w:val="center"/>
          </w:tcPr>
          <w:p w14:paraId="5D1139B2">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近五年（2021年6月1日至投标截止日）承担过融资类/文旅类工程咨询服务业绩，有1项得</w:t>
            </w:r>
            <w:r>
              <w:rPr>
                <w:rFonts w:hint="eastAsia" w:cs="宋体"/>
                <w:sz w:val="24"/>
                <w:szCs w:val="32"/>
                <w:lang w:val="en-US" w:eastAsia="zh-CN" w:bidi="zh-CN"/>
              </w:rPr>
              <w:t>3</w:t>
            </w:r>
            <w:r>
              <w:rPr>
                <w:rFonts w:hint="eastAsia" w:ascii="宋体" w:hAnsi="宋体" w:eastAsia="宋体" w:cs="宋体"/>
                <w:sz w:val="24"/>
                <w:szCs w:val="32"/>
                <w:lang w:val="en-US" w:eastAsia="zh-CN" w:bidi="zh-CN"/>
              </w:rPr>
              <w:t>分，每增加1项得</w:t>
            </w:r>
            <w:r>
              <w:rPr>
                <w:rFonts w:hint="eastAsia" w:cs="宋体"/>
                <w:sz w:val="24"/>
                <w:szCs w:val="32"/>
                <w:lang w:val="en-US" w:eastAsia="zh-CN" w:bidi="zh-CN"/>
              </w:rPr>
              <w:t>3</w:t>
            </w:r>
            <w:r>
              <w:rPr>
                <w:rFonts w:hint="eastAsia" w:ascii="宋体" w:hAnsi="宋体" w:eastAsia="宋体" w:cs="宋体"/>
                <w:sz w:val="24"/>
                <w:szCs w:val="32"/>
                <w:lang w:val="en-US" w:eastAsia="zh-CN" w:bidi="zh-CN"/>
              </w:rPr>
              <w:t>分，最多</w:t>
            </w:r>
            <w:r>
              <w:rPr>
                <w:rFonts w:hint="eastAsia" w:cs="宋体"/>
                <w:sz w:val="24"/>
                <w:szCs w:val="32"/>
                <w:lang w:val="en-US" w:eastAsia="zh-CN" w:bidi="zh-CN"/>
              </w:rPr>
              <w:t>10</w:t>
            </w:r>
            <w:r>
              <w:rPr>
                <w:rFonts w:hint="eastAsia" w:ascii="宋体" w:hAnsi="宋体" w:eastAsia="宋体" w:cs="宋体"/>
                <w:sz w:val="24"/>
                <w:szCs w:val="32"/>
                <w:lang w:val="en-US" w:eastAsia="zh-CN" w:bidi="zh-CN"/>
              </w:rPr>
              <w:t>分。（须提供中标通知书或合同复印件，时间以合同签订时间为准）</w:t>
            </w:r>
          </w:p>
        </w:tc>
      </w:tr>
      <w:tr w14:paraId="744B444E">
        <w:tblPrEx>
          <w:tblCellMar>
            <w:top w:w="0" w:type="dxa"/>
            <w:left w:w="108" w:type="dxa"/>
            <w:bottom w:w="0" w:type="dxa"/>
            <w:right w:w="108" w:type="dxa"/>
          </w:tblCellMar>
        </w:tblPrEx>
        <w:trPr>
          <w:trHeight w:val="540" w:hRule="atLeast"/>
        </w:trPr>
        <w:tc>
          <w:tcPr>
            <w:tcW w:w="715" w:type="pct"/>
            <w:vMerge w:val="continue"/>
            <w:tcBorders>
              <w:top w:val="nil"/>
              <w:left w:val="single" w:color="auto" w:sz="4" w:space="0"/>
              <w:bottom w:val="single" w:color="000000" w:sz="4" w:space="0"/>
              <w:right w:val="single" w:color="auto" w:sz="4" w:space="0"/>
            </w:tcBorders>
            <w:vAlign w:val="center"/>
          </w:tcPr>
          <w:p w14:paraId="27597145">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nil"/>
              <w:left w:val="nil"/>
              <w:bottom w:val="single" w:color="auto" w:sz="4" w:space="0"/>
              <w:right w:val="single" w:color="auto" w:sz="4" w:space="0"/>
            </w:tcBorders>
            <w:shd w:val="clear" w:color="auto" w:fill="auto"/>
            <w:vAlign w:val="center"/>
          </w:tcPr>
          <w:p w14:paraId="2D5B28A1">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项目负责人资历</w:t>
            </w:r>
          </w:p>
        </w:tc>
        <w:tc>
          <w:tcPr>
            <w:tcW w:w="508" w:type="pct"/>
            <w:tcBorders>
              <w:top w:val="nil"/>
              <w:left w:val="nil"/>
              <w:bottom w:val="single" w:color="auto" w:sz="4" w:space="0"/>
              <w:right w:val="single" w:color="auto" w:sz="4" w:space="0"/>
            </w:tcBorders>
            <w:shd w:val="clear" w:color="auto" w:fill="auto"/>
            <w:vAlign w:val="center"/>
          </w:tcPr>
          <w:p w14:paraId="1D3263AF">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3分</w:t>
            </w:r>
          </w:p>
        </w:tc>
        <w:tc>
          <w:tcPr>
            <w:tcW w:w="3026" w:type="pct"/>
            <w:tcBorders>
              <w:top w:val="nil"/>
              <w:left w:val="nil"/>
              <w:bottom w:val="single" w:color="auto" w:sz="4" w:space="0"/>
              <w:right w:val="single" w:color="auto" w:sz="4" w:space="0"/>
            </w:tcBorders>
            <w:shd w:val="clear" w:color="auto" w:fill="auto"/>
            <w:vAlign w:val="center"/>
          </w:tcPr>
          <w:p w14:paraId="2F63C5B2">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default" w:ascii="宋体" w:hAnsi="宋体" w:eastAsia="宋体" w:cs="宋体"/>
                <w:sz w:val="24"/>
                <w:szCs w:val="32"/>
                <w:lang w:val="en-US" w:eastAsia="zh-CN" w:bidi="zh-CN"/>
              </w:rPr>
            </w:pPr>
            <w:r>
              <w:rPr>
                <w:rFonts w:hint="default" w:ascii="宋体" w:hAnsi="宋体" w:eastAsia="宋体" w:cs="宋体"/>
                <w:sz w:val="24"/>
                <w:szCs w:val="32"/>
                <w:lang w:val="en-US" w:eastAsia="zh-CN" w:bidi="zh-CN"/>
              </w:rPr>
              <w:t>拟派项目负责人具有正高级工程师职称的，得3分；具有高级工程师职称的，得2分；具有中级职称的，得1分；其他不得分</w:t>
            </w:r>
          </w:p>
        </w:tc>
      </w:tr>
      <w:tr w14:paraId="7E271858">
        <w:tblPrEx>
          <w:tblCellMar>
            <w:top w:w="0" w:type="dxa"/>
            <w:left w:w="108" w:type="dxa"/>
            <w:bottom w:w="0" w:type="dxa"/>
            <w:right w:w="108" w:type="dxa"/>
          </w:tblCellMar>
        </w:tblPrEx>
        <w:trPr>
          <w:trHeight w:val="2014" w:hRule="atLeast"/>
        </w:trPr>
        <w:tc>
          <w:tcPr>
            <w:tcW w:w="715" w:type="pct"/>
            <w:vMerge w:val="continue"/>
            <w:tcBorders>
              <w:top w:val="nil"/>
              <w:left w:val="single" w:color="auto" w:sz="4" w:space="0"/>
              <w:bottom w:val="single" w:color="000000" w:sz="4" w:space="0"/>
              <w:right w:val="single" w:color="auto" w:sz="4" w:space="0"/>
            </w:tcBorders>
            <w:vAlign w:val="center"/>
          </w:tcPr>
          <w:p w14:paraId="06886B5C">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p>
        </w:tc>
        <w:tc>
          <w:tcPr>
            <w:tcW w:w="750" w:type="pct"/>
            <w:tcBorders>
              <w:top w:val="single" w:color="auto" w:sz="4" w:space="0"/>
              <w:left w:val="single" w:color="auto" w:sz="4" w:space="0"/>
              <w:bottom w:val="single" w:color="auto" w:sz="4" w:space="0"/>
              <w:right w:val="single" w:color="auto" w:sz="4" w:space="0"/>
            </w:tcBorders>
            <w:shd w:val="clear" w:color="auto" w:fill="auto"/>
            <w:vAlign w:val="center"/>
          </w:tcPr>
          <w:p w14:paraId="3A8B6830">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团队人员配置</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1128C305">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center"/>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7分</w:t>
            </w:r>
          </w:p>
        </w:tc>
        <w:tc>
          <w:tcPr>
            <w:tcW w:w="3026" w:type="pct"/>
            <w:tcBorders>
              <w:top w:val="single" w:color="auto" w:sz="4" w:space="0"/>
              <w:left w:val="single" w:color="auto" w:sz="4" w:space="0"/>
              <w:bottom w:val="single" w:color="auto" w:sz="4" w:space="0"/>
              <w:right w:val="single" w:color="auto" w:sz="4" w:space="0"/>
            </w:tcBorders>
            <w:shd w:val="clear" w:color="auto" w:fill="auto"/>
            <w:vAlign w:val="center"/>
          </w:tcPr>
          <w:p w14:paraId="63CE5887">
            <w:pPr>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jc w:val="both"/>
              <w:textAlignment w:val="baseline"/>
              <w:rPr>
                <w:rFonts w:hint="eastAsia" w:ascii="宋体" w:hAnsi="宋体" w:eastAsia="宋体" w:cs="宋体"/>
                <w:sz w:val="24"/>
                <w:szCs w:val="32"/>
                <w:lang w:val="en-US" w:eastAsia="zh-CN" w:bidi="zh-CN"/>
              </w:rPr>
            </w:pPr>
            <w:r>
              <w:rPr>
                <w:rFonts w:hint="eastAsia" w:ascii="宋体" w:hAnsi="宋体" w:eastAsia="宋体" w:cs="宋体"/>
                <w:sz w:val="24"/>
                <w:szCs w:val="32"/>
                <w:lang w:val="en-US" w:eastAsia="zh-CN" w:bidi="zh-CN"/>
              </w:rPr>
              <w:t>除项目负责人外，拟投入本项目其他人员：拟投入该项目的其他人员具备高级及以上职称，每提供1名得1分，最高得7分。（注：需提供人员职称证书、以及以上人员近三个月的社保缴费证明）</w:t>
            </w:r>
          </w:p>
        </w:tc>
      </w:tr>
    </w:tbl>
    <w:p w14:paraId="4CDCD429">
      <w:pPr>
        <w:snapToGrid w:val="0"/>
        <w:spacing w:line="460" w:lineRule="exact"/>
        <w:ind w:firstLine="482" w:firstLineChars="200"/>
        <w:jc w:val="both"/>
        <w:textAlignment w:val="baseline"/>
        <w:rPr>
          <w:rFonts w:hint="eastAsia"/>
          <w:b/>
          <w:color w:val="auto"/>
          <w:sz w:val="24"/>
          <w:szCs w:val="24"/>
          <w:highlight w:val="none"/>
        </w:rPr>
      </w:pPr>
    </w:p>
    <w:p w14:paraId="1724B439">
      <w:pPr>
        <w:snapToGrid w:val="0"/>
        <w:spacing w:line="460" w:lineRule="exact"/>
        <w:ind w:firstLine="482" w:firstLineChars="200"/>
        <w:jc w:val="both"/>
        <w:textAlignment w:val="baseline"/>
        <w:rPr>
          <w:b/>
          <w:color w:val="auto"/>
          <w:sz w:val="24"/>
          <w:szCs w:val="24"/>
          <w:highlight w:val="none"/>
        </w:rPr>
      </w:pPr>
      <w:r>
        <w:rPr>
          <w:rFonts w:hint="eastAsia"/>
          <w:b/>
          <w:color w:val="auto"/>
          <w:sz w:val="24"/>
          <w:szCs w:val="24"/>
          <w:highlight w:val="none"/>
        </w:rPr>
        <w:t>三、计分办法</w:t>
      </w:r>
    </w:p>
    <w:p w14:paraId="2E1677DD">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eastAsia="宋体"/>
          <w:color w:val="auto"/>
          <w:spacing w:val="-3"/>
          <w:sz w:val="24"/>
          <w:szCs w:val="24"/>
          <w:highlight w:val="none"/>
          <w:lang w:eastAsia="zh-CN"/>
        </w:rPr>
      </w:pPr>
      <w:r>
        <w:rPr>
          <w:rFonts w:hint="eastAsia"/>
          <w:color w:val="auto"/>
          <w:spacing w:val="-3"/>
          <w:sz w:val="24"/>
          <w:szCs w:val="24"/>
          <w:highlight w:val="none"/>
        </w:rPr>
        <w:t>（一）评标委员会按照招标文件的要求给投标人打分，并按下列公式确定各投标人的评定分数</w:t>
      </w:r>
      <w:r>
        <w:rPr>
          <w:rFonts w:hint="eastAsia"/>
          <w:color w:val="auto"/>
          <w:spacing w:val="-3"/>
          <w:sz w:val="24"/>
          <w:szCs w:val="24"/>
          <w:highlight w:val="none"/>
          <w:lang w:eastAsia="zh-CN"/>
        </w:rPr>
        <w:t>：</w:t>
      </w:r>
    </w:p>
    <w:p w14:paraId="2F102675">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color w:val="auto"/>
          <w:spacing w:val="-3"/>
          <w:sz w:val="24"/>
          <w:szCs w:val="24"/>
          <w:highlight w:val="none"/>
        </w:rPr>
      </w:pPr>
      <w:r>
        <w:rPr>
          <w:rFonts w:hint="eastAsia"/>
          <w:color w:val="auto"/>
          <w:spacing w:val="-3"/>
          <w:sz w:val="24"/>
          <w:szCs w:val="24"/>
          <w:highlight w:val="none"/>
        </w:rPr>
        <w:t>评定分数=</w:t>
      </w:r>
      <w:r>
        <w:rPr>
          <w:rFonts w:hint="eastAsia"/>
          <w:color w:val="auto"/>
          <w:spacing w:val="-3"/>
          <w:sz w:val="24"/>
          <w:szCs w:val="24"/>
          <w:highlight w:val="none"/>
          <w:lang w:val="en-US" w:eastAsia="zh-CN"/>
        </w:rPr>
        <w:t>报价部分</w:t>
      </w:r>
      <w:r>
        <w:rPr>
          <w:rFonts w:hint="eastAsia"/>
          <w:color w:val="auto"/>
          <w:spacing w:val="-3"/>
          <w:sz w:val="24"/>
          <w:szCs w:val="24"/>
          <w:highlight w:val="none"/>
        </w:rPr>
        <w:t>得分+</w:t>
      </w:r>
      <w:r>
        <w:rPr>
          <w:rFonts w:hint="eastAsia"/>
          <w:color w:val="auto"/>
          <w:spacing w:val="-3"/>
          <w:sz w:val="24"/>
          <w:szCs w:val="24"/>
          <w:highlight w:val="none"/>
          <w:lang w:val="en-US" w:eastAsia="zh-CN"/>
        </w:rPr>
        <w:t>商务部分</w:t>
      </w:r>
      <w:r>
        <w:rPr>
          <w:rFonts w:hint="eastAsia"/>
          <w:color w:val="auto"/>
          <w:spacing w:val="-3"/>
          <w:sz w:val="24"/>
          <w:szCs w:val="24"/>
          <w:highlight w:val="none"/>
        </w:rPr>
        <w:t>得分+</w:t>
      </w:r>
      <w:r>
        <w:rPr>
          <w:rFonts w:hint="eastAsia"/>
          <w:color w:val="auto"/>
          <w:spacing w:val="-3"/>
          <w:sz w:val="24"/>
          <w:szCs w:val="24"/>
          <w:highlight w:val="none"/>
          <w:lang w:val="en-US" w:eastAsia="zh-CN"/>
        </w:rPr>
        <w:t>技术部分</w:t>
      </w:r>
      <w:r>
        <w:rPr>
          <w:rFonts w:hint="eastAsia"/>
          <w:color w:val="auto"/>
          <w:spacing w:val="-3"/>
          <w:sz w:val="24"/>
          <w:szCs w:val="24"/>
          <w:highlight w:val="none"/>
        </w:rPr>
        <w:t>得分</w:t>
      </w:r>
    </w:p>
    <w:p w14:paraId="3A297931">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eastAsia="宋体"/>
          <w:color w:val="auto"/>
          <w:spacing w:val="-3"/>
          <w:sz w:val="24"/>
          <w:szCs w:val="24"/>
          <w:highlight w:val="none"/>
          <w:lang w:eastAsia="zh-CN"/>
        </w:rPr>
      </w:pPr>
      <w:r>
        <w:rPr>
          <w:rFonts w:hint="eastAsia"/>
          <w:color w:val="auto"/>
          <w:spacing w:val="-3"/>
          <w:sz w:val="24"/>
          <w:szCs w:val="24"/>
          <w:highlight w:val="none"/>
        </w:rPr>
        <w:t>（二）各投标人的最终得分为各评委所评定分数的算术平均值。</w:t>
      </w:r>
    </w:p>
    <w:p w14:paraId="1CFFF035">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eastAsia="宋体"/>
          <w:color w:val="auto"/>
          <w:spacing w:val="-3"/>
          <w:sz w:val="24"/>
          <w:szCs w:val="24"/>
          <w:highlight w:val="none"/>
          <w:lang w:eastAsia="zh-CN"/>
        </w:rPr>
      </w:pPr>
      <w:r>
        <w:rPr>
          <w:rFonts w:hint="eastAsia"/>
          <w:color w:val="auto"/>
          <w:spacing w:val="-3"/>
          <w:sz w:val="24"/>
          <w:szCs w:val="24"/>
          <w:highlight w:val="none"/>
        </w:rPr>
        <w:t>（三）各项统计、评分结果均按四舍五入方法精确到小数点后二位。</w:t>
      </w:r>
    </w:p>
    <w:p w14:paraId="7A2E05C7">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color w:val="auto"/>
          <w:spacing w:val="-3"/>
          <w:sz w:val="24"/>
          <w:szCs w:val="24"/>
          <w:highlight w:val="none"/>
        </w:rPr>
      </w:pPr>
      <w:r>
        <w:rPr>
          <w:rFonts w:hint="eastAsia"/>
          <w:color w:val="auto"/>
          <w:spacing w:val="-3"/>
          <w:sz w:val="24"/>
          <w:szCs w:val="24"/>
          <w:highlight w:val="none"/>
        </w:rPr>
        <w:t>（四）评标委员会根据投标人的最终得分</w:t>
      </w:r>
      <w:r>
        <w:rPr>
          <w:rFonts w:hint="eastAsia"/>
          <w:color w:val="auto"/>
          <w:spacing w:val="-3"/>
          <w:sz w:val="24"/>
          <w:szCs w:val="24"/>
          <w:highlight w:val="none"/>
          <w:lang w:eastAsia="zh-CN"/>
        </w:rPr>
        <w:t>，</w:t>
      </w:r>
      <w:r>
        <w:rPr>
          <w:rFonts w:hint="eastAsia"/>
          <w:color w:val="auto"/>
          <w:spacing w:val="-3"/>
          <w:sz w:val="24"/>
          <w:szCs w:val="24"/>
          <w:highlight w:val="none"/>
        </w:rPr>
        <w:t>按高低次序确定投标人最终的排列名次，并按照招标文件中规定，推荐不超过三名有排序的合格的中标候选人。</w:t>
      </w:r>
    </w:p>
    <w:p w14:paraId="05D08F4C">
      <w:pPr>
        <w:pStyle w:val="10"/>
        <w:keepNext w:val="0"/>
        <w:keepLines w:val="0"/>
        <w:pageBreakBefore w:val="0"/>
        <w:widowControl w:val="0"/>
        <w:tabs>
          <w:tab w:val="left" w:pos="1318"/>
        </w:tabs>
        <w:kinsoku/>
        <w:wordWrap/>
        <w:overflowPunct/>
        <w:topLinePunct w:val="0"/>
        <w:autoSpaceDE w:val="0"/>
        <w:autoSpaceDN w:val="0"/>
        <w:bidi w:val="0"/>
        <w:adjustRightInd/>
        <w:snapToGrid w:val="0"/>
        <w:spacing w:line="440" w:lineRule="exact"/>
        <w:ind w:left="0" w:firstLine="468" w:firstLineChars="200"/>
        <w:jc w:val="both"/>
        <w:textAlignment w:val="baseline"/>
        <w:rPr>
          <w:rFonts w:hint="eastAsia"/>
          <w:color w:val="auto"/>
          <w:spacing w:val="-3"/>
          <w:sz w:val="24"/>
          <w:szCs w:val="24"/>
          <w:highlight w:val="none"/>
        </w:rPr>
      </w:pPr>
    </w:p>
    <w:p w14:paraId="5FA8E0A2">
      <w:pPr>
        <w:pStyle w:val="10"/>
        <w:keepNext w:val="0"/>
        <w:keepLines w:val="0"/>
        <w:pageBreakBefore w:val="0"/>
        <w:widowControl w:val="0"/>
        <w:numPr>
          <w:ilvl w:val="0"/>
          <w:numId w:val="0"/>
        </w:numPr>
        <w:tabs>
          <w:tab w:val="left" w:pos="1318"/>
        </w:tabs>
        <w:kinsoku/>
        <w:wordWrap/>
        <w:overflowPunct/>
        <w:topLinePunct w:val="0"/>
        <w:autoSpaceDE w:val="0"/>
        <w:autoSpaceDN w:val="0"/>
        <w:bidi w:val="0"/>
        <w:adjustRightInd/>
        <w:snapToGrid w:val="0"/>
        <w:spacing w:line="440" w:lineRule="exact"/>
        <w:ind w:leftChars="200"/>
        <w:jc w:val="both"/>
        <w:textAlignment w:val="baseline"/>
        <w:rPr>
          <w:rFonts w:hint="default"/>
          <w:color w:val="auto"/>
          <w:spacing w:val="-3"/>
          <w:sz w:val="24"/>
          <w:szCs w:val="24"/>
          <w:highlight w:val="none"/>
          <w:lang w:val="en-US" w:eastAsia="zh-CN"/>
        </w:rPr>
      </w:pPr>
    </w:p>
    <w:sectPr>
      <w:pgSz w:w="11906" w:h="16838"/>
      <w:pgMar w:top="1417" w:right="1800" w:bottom="1191"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C0C00"/>
    <w:rsid w:val="000273CC"/>
    <w:rsid w:val="000E5D71"/>
    <w:rsid w:val="00577718"/>
    <w:rsid w:val="00771B68"/>
    <w:rsid w:val="00950240"/>
    <w:rsid w:val="00CE72AE"/>
    <w:rsid w:val="00F46D15"/>
    <w:rsid w:val="010A6538"/>
    <w:rsid w:val="0147153B"/>
    <w:rsid w:val="01A00C4B"/>
    <w:rsid w:val="01A050EF"/>
    <w:rsid w:val="01A4698D"/>
    <w:rsid w:val="01B97F5E"/>
    <w:rsid w:val="01BD17FD"/>
    <w:rsid w:val="01D152A8"/>
    <w:rsid w:val="01E07299"/>
    <w:rsid w:val="0200793B"/>
    <w:rsid w:val="021B4775"/>
    <w:rsid w:val="021F4265"/>
    <w:rsid w:val="02551A35"/>
    <w:rsid w:val="02567D09"/>
    <w:rsid w:val="0261487E"/>
    <w:rsid w:val="027D0F8C"/>
    <w:rsid w:val="02895B83"/>
    <w:rsid w:val="0297204E"/>
    <w:rsid w:val="0299683B"/>
    <w:rsid w:val="029C3B08"/>
    <w:rsid w:val="02B0310F"/>
    <w:rsid w:val="02B96468"/>
    <w:rsid w:val="02BA3F8E"/>
    <w:rsid w:val="02BE582C"/>
    <w:rsid w:val="02E64D83"/>
    <w:rsid w:val="02F23728"/>
    <w:rsid w:val="03103BAE"/>
    <w:rsid w:val="031E276F"/>
    <w:rsid w:val="0324162C"/>
    <w:rsid w:val="032A4C70"/>
    <w:rsid w:val="03394EB3"/>
    <w:rsid w:val="033E071B"/>
    <w:rsid w:val="035166A0"/>
    <w:rsid w:val="037B196F"/>
    <w:rsid w:val="03863E70"/>
    <w:rsid w:val="039C5442"/>
    <w:rsid w:val="03B47269"/>
    <w:rsid w:val="03C74BB5"/>
    <w:rsid w:val="03CC3F79"/>
    <w:rsid w:val="040C0819"/>
    <w:rsid w:val="040E27E3"/>
    <w:rsid w:val="044E2BE0"/>
    <w:rsid w:val="0453126A"/>
    <w:rsid w:val="047A39D5"/>
    <w:rsid w:val="049A7BD3"/>
    <w:rsid w:val="049B4562"/>
    <w:rsid w:val="04BD5D20"/>
    <w:rsid w:val="04DF7CDC"/>
    <w:rsid w:val="04E35A1E"/>
    <w:rsid w:val="04FE4606"/>
    <w:rsid w:val="05230767"/>
    <w:rsid w:val="05237BC9"/>
    <w:rsid w:val="0530678A"/>
    <w:rsid w:val="054B35C3"/>
    <w:rsid w:val="054B36C5"/>
    <w:rsid w:val="055C30DB"/>
    <w:rsid w:val="05656433"/>
    <w:rsid w:val="056C5FA6"/>
    <w:rsid w:val="05777F14"/>
    <w:rsid w:val="0580501B"/>
    <w:rsid w:val="05B80C59"/>
    <w:rsid w:val="05BB6053"/>
    <w:rsid w:val="05EA4E20"/>
    <w:rsid w:val="065F1CC3"/>
    <w:rsid w:val="06620BC5"/>
    <w:rsid w:val="066F6E3E"/>
    <w:rsid w:val="06845316"/>
    <w:rsid w:val="06896151"/>
    <w:rsid w:val="068C7817"/>
    <w:rsid w:val="06B56F46"/>
    <w:rsid w:val="06BD404D"/>
    <w:rsid w:val="06F7130D"/>
    <w:rsid w:val="07131EBF"/>
    <w:rsid w:val="07222102"/>
    <w:rsid w:val="07267E44"/>
    <w:rsid w:val="072E6CF9"/>
    <w:rsid w:val="07412951"/>
    <w:rsid w:val="074A3B33"/>
    <w:rsid w:val="075A189C"/>
    <w:rsid w:val="07630750"/>
    <w:rsid w:val="07943A30"/>
    <w:rsid w:val="07DB29DD"/>
    <w:rsid w:val="07EA2C20"/>
    <w:rsid w:val="07FB307F"/>
    <w:rsid w:val="08471E20"/>
    <w:rsid w:val="084C38DA"/>
    <w:rsid w:val="086F75C9"/>
    <w:rsid w:val="08730E67"/>
    <w:rsid w:val="089E3A0A"/>
    <w:rsid w:val="08AE6343"/>
    <w:rsid w:val="08BD5AC1"/>
    <w:rsid w:val="08BF5E5A"/>
    <w:rsid w:val="08E104C7"/>
    <w:rsid w:val="090369F3"/>
    <w:rsid w:val="0911242E"/>
    <w:rsid w:val="091B505B"/>
    <w:rsid w:val="093525C0"/>
    <w:rsid w:val="09376339"/>
    <w:rsid w:val="09532A47"/>
    <w:rsid w:val="09684744"/>
    <w:rsid w:val="097F55EA"/>
    <w:rsid w:val="099F2712"/>
    <w:rsid w:val="09A6701A"/>
    <w:rsid w:val="0A075D0B"/>
    <w:rsid w:val="0A0D52EB"/>
    <w:rsid w:val="0A2A19F9"/>
    <w:rsid w:val="0A5374B1"/>
    <w:rsid w:val="0A5B7E05"/>
    <w:rsid w:val="0A6E5D8A"/>
    <w:rsid w:val="0AB15C77"/>
    <w:rsid w:val="0ACA6D38"/>
    <w:rsid w:val="0ADA341F"/>
    <w:rsid w:val="0AFF69E2"/>
    <w:rsid w:val="0B161F7E"/>
    <w:rsid w:val="0B2C17A1"/>
    <w:rsid w:val="0B3A2110"/>
    <w:rsid w:val="0B61144B"/>
    <w:rsid w:val="0B6B40B0"/>
    <w:rsid w:val="0B84338B"/>
    <w:rsid w:val="0B884C29"/>
    <w:rsid w:val="0B9510F4"/>
    <w:rsid w:val="0B9A495D"/>
    <w:rsid w:val="0BAF665A"/>
    <w:rsid w:val="0BC639A4"/>
    <w:rsid w:val="0C2A3F33"/>
    <w:rsid w:val="0C4274CE"/>
    <w:rsid w:val="0C4F74F5"/>
    <w:rsid w:val="0C8F1FE8"/>
    <w:rsid w:val="0CCF0636"/>
    <w:rsid w:val="0CEB3B46"/>
    <w:rsid w:val="0D10137A"/>
    <w:rsid w:val="0D200E92"/>
    <w:rsid w:val="0D3124F2"/>
    <w:rsid w:val="0D417786"/>
    <w:rsid w:val="0D643474"/>
    <w:rsid w:val="0D6E42F3"/>
    <w:rsid w:val="0D8633EB"/>
    <w:rsid w:val="0DCD726B"/>
    <w:rsid w:val="0DF5231E"/>
    <w:rsid w:val="0E06277D"/>
    <w:rsid w:val="0E356BBF"/>
    <w:rsid w:val="0E44378C"/>
    <w:rsid w:val="0E456E02"/>
    <w:rsid w:val="0E491F21"/>
    <w:rsid w:val="0E4D215A"/>
    <w:rsid w:val="0E99714E"/>
    <w:rsid w:val="0EA16002"/>
    <w:rsid w:val="0ECC7523"/>
    <w:rsid w:val="0F046CBD"/>
    <w:rsid w:val="0F4648D0"/>
    <w:rsid w:val="0F587009"/>
    <w:rsid w:val="0FAE6C29"/>
    <w:rsid w:val="0FD83CA6"/>
    <w:rsid w:val="0FF54858"/>
    <w:rsid w:val="102B0279"/>
    <w:rsid w:val="104D4694"/>
    <w:rsid w:val="10507CE0"/>
    <w:rsid w:val="107874DA"/>
    <w:rsid w:val="109E0A4B"/>
    <w:rsid w:val="109E767F"/>
    <w:rsid w:val="10C36704"/>
    <w:rsid w:val="10F414EB"/>
    <w:rsid w:val="10F62635"/>
    <w:rsid w:val="111156C1"/>
    <w:rsid w:val="114710E3"/>
    <w:rsid w:val="115D26B4"/>
    <w:rsid w:val="115E4FD3"/>
    <w:rsid w:val="116577BB"/>
    <w:rsid w:val="116B3023"/>
    <w:rsid w:val="127952CC"/>
    <w:rsid w:val="127E0B34"/>
    <w:rsid w:val="128E689D"/>
    <w:rsid w:val="12977961"/>
    <w:rsid w:val="12CD386A"/>
    <w:rsid w:val="130F5C30"/>
    <w:rsid w:val="13712447"/>
    <w:rsid w:val="13914897"/>
    <w:rsid w:val="13BB7B66"/>
    <w:rsid w:val="13C133CE"/>
    <w:rsid w:val="13D83321"/>
    <w:rsid w:val="14011A1D"/>
    <w:rsid w:val="140137CB"/>
    <w:rsid w:val="140908D1"/>
    <w:rsid w:val="140B289C"/>
    <w:rsid w:val="14172FEE"/>
    <w:rsid w:val="142B6A9A"/>
    <w:rsid w:val="14357918"/>
    <w:rsid w:val="144D6A10"/>
    <w:rsid w:val="146B333A"/>
    <w:rsid w:val="1471226C"/>
    <w:rsid w:val="14904B4F"/>
    <w:rsid w:val="149F6ABE"/>
    <w:rsid w:val="14A16D5C"/>
    <w:rsid w:val="14A66120"/>
    <w:rsid w:val="14CF1B1B"/>
    <w:rsid w:val="14D62EA9"/>
    <w:rsid w:val="14D709D0"/>
    <w:rsid w:val="15023C9F"/>
    <w:rsid w:val="1537146E"/>
    <w:rsid w:val="153B15DB"/>
    <w:rsid w:val="153F3306"/>
    <w:rsid w:val="15400323"/>
    <w:rsid w:val="155618F4"/>
    <w:rsid w:val="15567B46"/>
    <w:rsid w:val="156E30E2"/>
    <w:rsid w:val="15A308B2"/>
    <w:rsid w:val="15A9236C"/>
    <w:rsid w:val="15C70A44"/>
    <w:rsid w:val="15F15AC1"/>
    <w:rsid w:val="15FB249C"/>
    <w:rsid w:val="15FD4466"/>
    <w:rsid w:val="161812A0"/>
    <w:rsid w:val="16182A6B"/>
    <w:rsid w:val="162D3043"/>
    <w:rsid w:val="164D719B"/>
    <w:rsid w:val="164E081E"/>
    <w:rsid w:val="165247B2"/>
    <w:rsid w:val="167D7355"/>
    <w:rsid w:val="168E1562"/>
    <w:rsid w:val="16A62408"/>
    <w:rsid w:val="16A82624"/>
    <w:rsid w:val="16B65F5A"/>
    <w:rsid w:val="16DC22CD"/>
    <w:rsid w:val="16E41182"/>
    <w:rsid w:val="16E64EFA"/>
    <w:rsid w:val="16EF2001"/>
    <w:rsid w:val="171657DF"/>
    <w:rsid w:val="17321EED"/>
    <w:rsid w:val="176F6C9D"/>
    <w:rsid w:val="177B3894"/>
    <w:rsid w:val="178A3AD7"/>
    <w:rsid w:val="17935082"/>
    <w:rsid w:val="17A0779F"/>
    <w:rsid w:val="17B648CC"/>
    <w:rsid w:val="17C818A3"/>
    <w:rsid w:val="181A30AD"/>
    <w:rsid w:val="183A72AB"/>
    <w:rsid w:val="183F0D66"/>
    <w:rsid w:val="184E2D57"/>
    <w:rsid w:val="185C1918"/>
    <w:rsid w:val="185D2F9A"/>
    <w:rsid w:val="187A7FF0"/>
    <w:rsid w:val="188744BB"/>
    <w:rsid w:val="188D7D23"/>
    <w:rsid w:val="18CE5C46"/>
    <w:rsid w:val="18DC4807"/>
    <w:rsid w:val="18E37943"/>
    <w:rsid w:val="18FC27B3"/>
    <w:rsid w:val="19067AD5"/>
    <w:rsid w:val="195B354A"/>
    <w:rsid w:val="195E79BB"/>
    <w:rsid w:val="196A0064"/>
    <w:rsid w:val="198729C4"/>
    <w:rsid w:val="19996930"/>
    <w:rsid w:val="19A7780A"/>
    <w:rsid w:val="19AE61A3"/>
    <w:rsid w:val="19C5529B"/>
    <w:rsid w:val="19DD71F3"/>
    <w:rsid w:val="19E5593D"/>
    <w:rsid w:val="19F93196"/>
    <w:rsid w:val="1A0E09F0"/>
    <w:rsid w:val="1A1D0C33"/>
    <w:rsid w:val="1A2C531A"/>
    <w:rsid w:val="1A2F0966"/>
    <w:rsid w:val="1A3348FA"/>
    <w:rsid w:val="1A383CBF"/>
    <w:rsid w:val="1A8B2040"/>
    <w:rsid w:val="1A9D1D74"/>
    <w:rsid w:val="1AA2382E"/>
    <w:rsid w:val="1AA475A6"/>
    <w:rsid w:val="1AF776D6"/>
    <w:rsid w:val="1B1639D5"/>
    <w:rsid w:val="1B302BE8"/>
    <w:rsid w:val="1B701236"/>
    <w:rsid w:val="1BA62EAA"/>
    <w:rsid w:val="1BCD6688"/>
    <w:rsid w:val="1BFE4A94"/>
    <w:rsid w:val="1BFF39FC"/>
    <w:rsid w:val="1C1222ED"/>
    <w:rsid w:val="1C4C1CA3"/>
    <w:rsid w:val="1C511068"/>
    <w:rsid w:val="1C5F3784"/>
    <w:rsid w:val="1C624C5C"/>
    <w:rsid w:val="1C8E7BC6"/>
    <w:rsid w:val="1C93342E"/>
    <w:rsid w:val="1CB533A4"/>
    <w:rsid w:val="1CEB326A"/>
    <w:rsid w:val="1D17405F"/>
    <w:rsid w:val="1D5F1562"/>
    <w:rsid w:val="1D70376F"/>
    <w:rsid w:val="1D9077D6"/>
    <w:rsid w:val="1D9C27B6"/>
    <w:rsid w:val="1DAD0520"/>
    <w:rsid w:val="1DB00010"/>
    <w:rsid w:val="1DD12460"/>
    <w:rsid w:val="1DE55F0B"/>
    <w:rsid w:val="1DF12B02"/>
    <w:rsid w:val="1DF24184"/>
    <w:rsid w:val="1E28404A"/>
    <w:rsid w:val="1E316E0B"/>
    <w:rsid w:val="1E480248"/>
    <w:rsid w:val="1E4D585F"/>
    <w:rsid w:val="1E7B061E"/>
    <w:rsid w:val="1EC43D73"/>
    <w:rsid w:val="1EC71AB5"/>
    <w:rsid w:val="1EE6018D"/>
    <w:rsid w:val="1EEB7551"/>
    <w:rsid w:val="1F582FEB"/>
    <w:rsid w:val="1F672950"/>
    <w:rsid w:val="1F6B0692"/>
    <w:rsid w:val="1F6E3CDF"/>
    <w:rsid w:val="1F901EA7"/>
    <w:rsid w:val="1F9C61CC"/>
    <w:rsid w:val="1FF97A4C"/>
    <w:rsid w:val="20126D60"/>
    <w:rsid w:val="205E1FA5"/>
    <w:rsid w:val="206C46C2"/>
    <w:rsid w:val="20CE0ED9"/>
    <w:rsid w:val="20DE0E36"/>
    <w:rsid w:val="20EC75B1"/>
    <w:rsid w:val="211F34E2"/>
    <w:rsid w:val="213452F0"/>
    <w:rsid w:val="216435EB"/>
    <w:rsid w:val="2166129B"/>
    <w:rsid w:val="21730FAD"/>
    <w:rsid w:val="21BA145D"/>
    <w:rsid w:val="21CE6CB6"/>
    <w:rsid w:val="21D841C9"/>
    <w:rsid w:val="222D44D8"/>
    <w:rsid w:val="223B07F0"/>
    <w:rsid w:val="223B53BA"/>
    <w:rsid w:val="223E5BEA"/>
    <w:rsid w:val="224A0A33"/>
    <w:rsid w:val="22574EFE"/>
    <w:rsid w:val="22676F16"/>
    <w:rsid w:val="227D2BB6"/>
    <w:rsid w:val="22851A6B"/>
    <w:rsid w:val="229D6DB5"/>
    <w:rsid w:val="22AA7723"/>
    <w:rsid w:val="22B3482A"/>
    <w:rsid w:val="22F83FEB"/>
    <w:rsid w:val="230A1F70"/>
    <w:rsid w:val="23201794"/>
    <w:rsid w:val="233D5EA2"/>
    <w:rsid w:val="23531B69"/>
    <w:rsid w:val="23AB5C84"/>
    <w:rsid w:val="23BC326A"/>
    <w:rsid w:val="23EB1DA2"/>
    <w:rsid w:val="23FD2624"/>
    <w:rsid w:val="24155071"/>
    <w:rsid w:val="242A0654"/>
    <w:rsid w:val="243472A5"/>
    <w:rsid w:val="243A0633"/>
    <w:rsid w:val="243B4AD7"/>
    <w:rsid w:val="247D584F"/>
    <w:rsid w:val="24AA7567"/>
    <w:rsid w:val="24B14D99"/>
    <w:rsid w:val="24E75281"/>
    <w:rsid w:val="24FB6014"/>
    <w:rsid w:val="25182500"/>
    <w:rsid w:val="2564005E"/>
    <w:rsid w:val="2580651A"/>
    <w:rsid w:val="258424AE"/>
    <w:rsid w:val="259D0E7A"/>
    <w:rsid w:val="25C32FD6"/>
    <w:rsid w:val="25DC5E46"/>
    <w:rsid w:val="25F211C5"/>
    <w:rsid w:val="25F52A64"/>
    <w:rsid w:val="26064C71"/>
    <w:rsid w:val="26094761"/>
    <w:rsid w:val="26154EB4"/>
    <w:rsid w:val="26284BE7"/>
    <w:rsid w:val="267F0A80"/>
    <w:rsid w:val="26834513"/>
    <w:rsid w:val="26906C30"/>
    <w:rsid w:val="26911CB2"/>
    <w:rsid w:val="26971D6D"/>
    <w:rsid w:val="26D42FC1"/>
    <w:rsid w:val="26FE1DEC"/>
    <w:rsid w:val="27075144"/>
    <w:rsid w:val="270E64D3"/>
    <w:rsid w:val="274041B2"/>
    <w:rsid w:val="27483067"/>
    <w:rsid w:val="2762237B"/>
    <w:rsid w:val="27637EA1"/>
    <w:rsid w:val="279D1605"/>
    <w:rsid w:val="27A110F5"/>
    <w:rsid w:val="27F531EF"/>
    <w:rsid w:val="27F751B9"/>
    <w:rsid w:val="2810627B"/>
    <w:rsid w:val="2816684B"/>
    <w:rsid w:val="287B7B98"/>
    <w:rsid w:val="28926C90"/>
    <w:rsid w:val="28E67B7A"/>
    <w:rsid w:val="28EA4D0E"/>
    <w:rsid w:val="294104B7"/>
    <w:rsid w:val="29514455"/>
    <w:rsid w:val="2953641F"/>
    <w:rsid w:val="2973086F"/>
    <w:rsid w:val="29820AB2"/>
    <w:rsid w:val="29A749BD"/>
    <w:rsid w:val="29CB06AB"/>
    <w:rsid w:val="29CC4423"/>
    <w:rsid w:val="2A353D77"/>
    <w:rsid w:val="2A662182"/>
    <w:rsid w:val="2A68414C"/>
    <w:rsid w:val="2A73664D"/>
    <w:rsid w:val="2A781EB5"/>
    <w:rsid w:val="2A842608"/>
    <w:rsid w:val="2A944F41"/>
    <w:rsid w:val="2AA77596"/>
    <w:rsid w:val="2AB23619"/>
    <w:rsid w:val="2AB96756"/>
    <w:rsid w:val="2AD80410"/>
    <w:rsid w:val="2ADD1656"/>
    <w:rsid w:val="2B125E66"/>
    <w:rsid w:val="2B261911"/>
    <w:rsid w:val="2B2C517A"/>
    <w:rsid w:val="2B807273"/>
    <w:rsid w:val="2B9B4991"/>
    <w:rsid w:val="2BA03472"/>
    <w:rsid w:val="2BAA2542"/>
    <w:rsid w:val="2BBE50F8"/>
    <w:rsid w:val="2BD77E5E"/>
    <w:rsid w:val="2BE07A80"/>
    <w:rsid w:val="2BE45A54"/>
    <w:rsid w:val="2BFD2672"/>
    <w:rsid w:val="2BFF288E"/>
    <w:rsid w:val="2C1F4CDE"/>
    <w:rsid w:val="2C5A5B7C"/>
    <w:rsid w:val="2C6D5A4A"/>
    <w:rsid w:val="2C7F752B"/>
    <w:rsid w:val="2CB03B88"/>
    <w:rsid w:val="2CFF066C"/>
    <w:rsid w:val="2D1F486A"/>
    <w:rsid w:val="2D216834"/>
    <w:rsid w:val="2D320BC1"/>
    <w:rsid w:val="2D3C71CA"/>
    <w:rsid w:val="2D5C786C"/>
    <w:rsid w:val="2D621327"/>
    <w:rsid w:val="2D630BFB"/>
    <w:rsid w:val="2D7503AA"/>
    <w:rsid w:val="2DAA682A"/>
    <w:rsid w:val="2DAC07F4"/>
    <w:rsid w:val="2DB80F46"/>
    <w:rsid w:val="2DC0604D"/>
    <w:rsid w:val="2DCC2C44"/>
    <w:rsid w:val="2DD41AF8"/>
    <w:rsid w:val="2DF06932"/>
    <w:rsid w:val="2E110657"/>
    <w:rsid w:val="2E1B7727"/>
    <w:rsid w:val="2E2A34C6"/>
    <w:rsid w:val="2E5073D1"/>
    <w:rsid w:val="2E8250B1"/>
    <w:rsid w:val="2EBA3D06"/>
    <w:rsid w:val="2ECE479A"/>
    <w:rsid w:val="2EE87609"/>
    <w:rsid w:val="2F0F103A"/>
    <w:rsid w:val="2F3228BC"/>
    <w:rsid w:val="2F364819"/>
    <w:rsid w:val="2F48454C"/>
    <w:rsid w:val="2F4D3910"/>
    <w:rsid w:val="2F5E167A"/>
    <w:rsid w:val="2F603644"/>
    <w:rsid w:val="2F7013AD"/>
    <w:rsid w:val="2F7470EF"/>
    <w:rsid w:val="2F7C63DF"/>
    <w:rsid w:val="2F8530AA"/>
    <w:rsid w:val="2F8B19C3"/>
    <w:rsid w:val="2FA23C5C"/>
    <w:rsid w:val="2FC33BD3"/>
    <w:rsid w:val="2FC736C3"/>
    <w:rsid w:val="2FDD4C94"/>
    <w:rsid w:val="2FE04785"/>
    <w:rsid w:val="2FEE6EA1"/>
    <w:rsid w:val="300872A7"/>
    <w:rsid w:val="300C557A"/>
    <w:rsid w:val="301461DC"/>
    <w:rsid w:val="30316D8E"/>
    <w:rsid w:val="303C7DA8"/>
    <w:rsid w:val="305A4537"/>
    <w:rsid w:val="305A62E5"/>
    <w:rsid w:val="3090035F"/>
    <w:rsid w:val="30A532D8"/>
    <w:rsid w:val="30A6152A"/>
    <w:rsid w:val="30D37E45"/>
    <w:rsid w:val="30DF2C8E"/>
    <w:rsid w:val="30E97669"/>
    <w:rsid w:val="31077AEF"/>
    <w:rsid w:val="31216E03"/>
    <w:rsid w:val="31501496"/>
    <w:rsid w:val="31837ABD"/>
    <w:rsid w:val="318B0720"/>
    <w:rsid w:val="31D9592F"/>
    <w:rsid w:val="31E53747"/>
    <w:rsid w:val="32002EBC"/>
    <w:rsid w:val="321E3342"/>
    <w:rsid w:val="32250B75"/>
    <w:rsid w:val="327B0795"/>
    <w:rsid w:val="3281224F"/>
    <w:rsid w:val="32821B23"/>
    <w:rsid w:val="32892EB1"/>
    <w:rsid w:val="32987598"/>
    <w:rsid w:val="32AF043E"/>
    <w:rsid w:val="32F30D4C"/>
    <w:rsid w:val="32FC7B27"/>
    <w:rsid w:val="32FD73FC"/>
    <w:rsid w:val="333F6ECB"/>
    <w:rsid w:val="33833DA5"/>
    <w:rsid w:val="3390201E"/>
    <w:rsid w:val="33BE4DDD"/>
    <w:rsid w:val="33FE342B"/>
    <w:rsid w:val="34030A42"/>
    <w:rsid w:val="341744ED"/>
    <w:rsid w:val="34254E5C"/>
    <w:rsid w:val="344352E2"/>
    <w:rsid w:val="34871673"/>
    <w:rsid w:val="34945B3E"/>
    <w:rsid w:val="34A22009"/>
    <w:rsid w:val="34A51AF9"/>
    <w:rsid w:val="34C957E7"/>
    <w:rsid w:val="35245113"/>
    <w:rsid w:val="353F3CFB"/>
    <w:rsid w:val="35E11256"/>
    <w:rsid w:val="35F03248"/>
    <w:rsid w:val="360311CD"/>
    <w:rsid w:val="36140CE4"/>
    <w:rsid w:val="36160F00"/>
    <w:rsid w:val="36581519"/>
    <w:rsid w:val="36A04C6E"/>
    <w:rsid w:val="36E032BC"/>
    <w:rsid w:val="36E25286"/>
    <w:rsid w:val="36FD7F0F"/>
    <w:rsid w:val="37046FAB"/>
    <w:rsid w:val="37176727"/>
    <w:rsid w:val="37335AE2"/>
    <w:rsid w:val="37936580"/>
    <w:rsid w:val="37C4673A"/>
    <w:rsid w:val="37DC1CD5"/>
    <w:rsid w:val="37E42938"/>
    <w:rsid w:val="3805122C"/>
    <w:rsid w:val="381316D5"/>
    <w:rsid w:val="382C4A0B"/>
    <w:rsid w:val="384F24A7"/>
    <w:rsid w:val="38563836"/>
    <w:rsid w:val="389B393F"/>
    <w:rsid w:val="38B177E9"/>
    <w:rsid w:val="38B50391"/>
    <w:rsid w:val="38C2711D"/>
    <w:rsid w:val="391F0A21"/>
    <w:rsid w:val="39292CF8"/>
    <w:rsid w:val="39461AFC"/>
    <w:rsid w:val="3956437C"/>
    <w:rsid w:val="396A50BF"/>
    <w:rsid w:val="39700927"/>
    <w:rsid w:val="397877DC"/>
    <w:rsid w:val="397F500E"/>
    <w:rsid w:val="39B36A66"/>
    <w:rsid w:val="39E44E71"/>
    <w:rsid w:val="3A1F33E4"/>
    <w:rsid w:val="3A2160C5"/>
    <w:rsid w:val="3A241712"/>
    <w:rsid w:val="3A255BB6"/>
    <w:rsid w:val="3A486CC3"/>
    <w:rsid w:val="3A5B15D7"/>
    <w:rsid w:val="3AA840F1"/>
    <w:rsid w:val="3AE25855"/>
    <w:rsid w:val="3B2C6AD0"/>
    <w:rsid w:val="3B5334D0"/>
    <w:rsid w:val="3B6B3A9C"/>
    <w:rsid w:val="3B6E0E96"/>
    <w:rsid w:val="3B7F4E52"/>
    <w:rsid w:val="3B800BCA"/>
    <w:rsid w:val="3BD258C9"/>
    <w:rsid w:val="3BE86E9B"/>
    <w:rsid w:val="3C0435A9"/>
    <w:rsid w:val="3C095063"/>
    <w:rsid w:val="3C355E58"/>
    <w:rsid w:val="3C5938F5"/>
    <w:rsid w:val="3C6443A7"/>
    <w:rsid w:val="3C667DC0"/>
    <w:rsid w:val="3C994CFD"/>
    <w:rsid w:val="3C9E39FD"/>
    <w:rsid w:val="3CBE7BFC"/>
    <w:rsid w:val="3CE33B06"/>
    <w:rsid w:val="3CEA6C43"/>
    <w:rsid w:val="3CF17FD1"/>
    <w:rsid w:val="3CF7310E"/>
    <w:rsid w:val="3D0870C9"/>
    <w:rsid w:val="3D145A6E"/>
    <w:rsid w:val="3D30445A"/>
    <w:rsid w:val="3D3F477C"/>
    <w:rsid w:val="3D566086"/>
    <w:rsid w:val="3D766728"/>
    <w:rsid w:val="3D785FFC"/>
    <w:rsid w:val="3D8449A1"/>
    <w:rsid w:val="3D931088"/>
    <w:rsid w:val="3DB039E8"/>
    <w:rsid w:val="3DE2791A"/>
    <w:rsid w:val="3DF5589F"/>
    <w:rsid w:val="3DFD4754"/>
    <w:rsid w:val="3E0C4997"/>
    <w:rsid w:val="3E3E0C1D"/>
    <w:rsid w:val="3E4B3711"/>
    <w:rsid w:val="3E506F79"/>
    <w:rsid w:val="3E614CE2"/>
    <w:rsid w:val="3E6D18D9"/>
    <w:rsid w:val="3E952BDE"/>
    <w:rsid w:val="3EAD617A"/>
    <w:rsid w:val="3EAD7F28"/>
    <w:rsid w:val="3ED92ACB"/>
    <w:rsid w:val="3EEA117C"/>
    <w:rsid w:val="3EF45B57"/>
    <w:rsid w:val="3F0D2F86"/>
    <w:rsid w:val="3F2006FA"/>
    <w:rsid w:val="3F327891"/>
    <w:rsid w:val="3F52287D"/>
    <w:rsid w:val="3F536D21"/>
    <w:rsid w:val="3F6A7BC7"/>
    <w:rsid w:val="3F854A01"/>
    <w:rsid w:val="3F8C3FE1"/>
    <w:rsid w:val="3FE536F1"/>
    <w:rsid w:val="3FE54CB8"/>
    <w:rsid w:val="40490124"/>
    <w:rsid w:val="407056B1"/>
    <w:rsid w:val="40730CFD"/>
    <w:rsid w:val="40827192"/>
    <w:rsid w:val="408E3D89"/>
    <w:rsid w:val="40A13ABC"/>
    <w:rsid w:val="40B97058"/>
    <w:rsid w:val="40BE466E"/>
    <w:rsid w:val="40E340D5"/>
    <w:rsid w:val="40FB141E"/>
    <w:rsid w:val="40FC0B8B"/>
    <w:rsid w:val="412A5860"/>
    <w:rsid w:val="412F2E76"/>
    <w:rsid w:val="414D59F2"/>
    <w:rsid w:val="416A0352"/>
    <w:rsid w:val="417D0085"/>
    <w:rsid w:val="41940F8A"/>
    <w:rsid w:val="41A11838"/>
    <w:rsid w:val="41CC6917"/>
    <w:rsid w:val="42277FF1"/>
    <w:rsid w:val="42734FE4"/>
    <w:rsid w:val="42876CE2"/>
    <w:rsid w:val="42CB4E20"/>
    <w:rsid w:val="42FB6DBC"/>
    <w:rsid w:val="43056584"/>
    <w:rsid w:val="43081F14"/>
    <w:rsid w:val="432403A1"/>
    <w:rsid w:val="433429C6"/>
    <w:rsid w:val="43374264"/>
    <w:rsid w:val="43713C1A"/>
    <w:rsid w:val="437E6337"/>
    <w:rsid w:val="4396542E"/>
    <w:rsid w:val="43A86F10"/>
    <w:rsid w:val="43C31F9B"/>
    <w:rsid w:val="43F3462F"/>
    <w:rsid w:val="43FF1225"/>
    <w:rsid w:val="44006D4C"/>
    <w:rsid w:val="44253167"/>
    <w:rsid w:val="44586B88"/>
    <w:rsid w:val="44692B43"/>
    <w:rsid w:val="447F5EC2"/>
    <w:rsid w:val="44937BC0"/>
    <w:rsid w:val="44B244EA"/>
    <w:rsid w:val="44C10289"/>
    <w:rsid w:val="44F248E6"/>
    <w:rsid w:val="450F6983"/>
    <w:rsid w:val="45240818"/>
    <w:rsid w:val="4537679D"/>
    <w:rsid w:val="45E83F3B"/>
    <w:rsid w:val="460C5E7C"/>
    <w:rsid w:val="460D74FE"/>
    <w:rsid w:val="4615716B"/>
    <w:rsid w:val="464E6848"/>
    <w:rsid w:val="465305AE"/>
    <w:rsid w:val="46A75BA4"/>
    <w:rsid w:val="46B5206F"/>
    <w:rsid w:val="46B8390E"/>
    <w:rsid w:val="46E464B1"/>
    <w:rsid w:val="46E91D19"/>
    <w:rsid w:val="47013507"/>
    <w:rsid w:val="47020BDB"/>
    <w:rsid w:val="4751654D"/>
    <w:rsid w:val="477C2B8D"/>
    <w:rsid w:val="478101A3"/>
    <w:rsid w:val="47941C85"/>
    <w:rsid w:val="47D429C9"/>
    <w:rsid w:val="48174664"/>
    <w:rsid w:val="4819662E"/>
    <w:rsid w:val="48272AF9"/>
    <w:rsid w:val="48303D17"/>
    <w:rsid w:val="483D231C"/>
    <w:rsid w:val="48496F13"/>
    <w:rsid w:val="486312FE"/>
    <w:rsid w:val="486B315D"/>
    <w:rsid w:val="487C3348"/>
    <w:rsid w:val="487F5FB0"/>
    <w:rsid w:val="48A83A0F"/>
    <w:rsid w:val="48B16866"/>
    <w:rsid w:val="48C20A74"/>
    <w:rsid w:val="48DA5DBD"/>
    <w:rsid w:val="48F87031"/>
    <w:rsid w:val="48FD7CFE"/>
    <w:rsid w:val="48FF5824"/>
    <w:rsid w:val="492139EC"/>
    <w:rsid w:val="49425710"/>
    <w:rsid w:val="49695393"/>
    <w:rsid w:val="497004D0"/>
    <w:rsid w:val="497D499A"/>
    <w:rsid w:val="49A168DB"/>
    <w:rsid w:val="49B04D70"/>
    <w:rsid w:val="49DF11B1"/>
    <w:rsid w:val="49E07403"/>
    <w:rsid w:val="49E8450A"/>
    <w:rsid w:val="4A0A4480"/>
    <w:rsid w:val="4A224D2B"/>
    <w:rsid w:val="4A4831FA"/>
    <w:rsid w:val="4A590F64"/>
    <w:rsid w:val="4A5971B6"/>
    <w:rsid w:val="4A652444"/>
    <w:rsid w:val="4B49722A"/>
    <w:rsid w:val="4B553E21"/>
    <w:rsid w:val="4B571947"/>
    <w:rsid w:val="4B5A31E5"/>
    <w:rsid w:val="4B5D6832"/>
    <w:rsid w:val="4B8169C4"/>
    <w:rsid w:val="4B985ABC"/>
    <w:rsid w:val="4BB46D99"/>
    <w:rsid w:val="4BC92119"/>
    <w:rsid w:val="4BD96800"/>
    <w:rsid w:val="4BDC7106"/>
    <w:rsid w:val="4BE262E2"/>
    <w:rsid w:val="4BE3142D"/>
    <w:rsid w:val="4BE8259F"/>
    <w:rsid w:val="4C0A0767"/>
    <w:rsid w:val="4C1A4723"/>
    <w:rsid w:val="4C1C493F"/>
    <w:rsid w:val="4C2F4672"/>
    <w:rsid w:val="4C4B0D80"/>
    <w:rsid w:val="4CAF7561"/>
    <w:rsid w:val="4CB42DC9"/>
    <w:rsid w:val="4CB86415"/>
    <w:rsid w:val="4CE54D31"/>
    <w:rsid w:val="4CF11927"/>
    <w:rsid w:val="4D1D44CA"/>
    <w:rsid w:val="4D203FBB"/>
    <w:rsid w:val="4D4819A3"/>
    <w:rsid w:val="4D4C1656"/>
    <w:rsid w:val="4D616AAD"/>
    <w:rsid w:val="4D6E11CA"/>
    <w:rsid w:val="4D7F33D7"/>
    <w:rsid w:val="4D9E1AAF"/>
    <w:rsid w:val="4DBD7A5B"/>
    <w:rsid w:val="4DCA4DAE"/>
    <w:rsid w:val="4DD92AE7"/>
    <w:rsid w:val="4E1753BE"/>
    <w:rsid w:val="4E1E674C"/>
    <w:rsid w:val="4E353F39"/>
    <w:rsid w:val="4E3715BC"/>
    <w:rsid w:val="4E4D7031"/>
    <w:rsid w:val="4E5C54C6"/>
    <w:rsid w:val="4E616639"/>
    <w:rsid w:val="4E880069"/>
    <w:rsid w:val="4EA07161"/>
    <w:rsid w:val="4EAA4484"/>
    <w:rsid w:val="4ED11A10"/>
    <w:rsid w:val="4EF83441"/>
    <w:rsid w:val="4F147B4F"/>
    <w:rsid w:val="4F1A2757"/>
    <w:rsid w:val="4F217D8B"/>
    <w:rsid w:val="4F3B332E"/>
    <w:rsid w:val="4F7505EE"/>
    <w:rsid w:val="4F9A44F8"/>
    <w:rsid w:val="4FAE23B1"/>
    <w:rsid w:val="4FB530E0"/>
    <w:rsid w:val="4FEE214E"/>
    <w:rsid w:val="50041972"/>
    <w:rsid w:val="502B33A2"/>
    <w:rsid w:val="504A1A7A"/>
    <w:rsid w:val="507408A5"/>
    <w:rsid w:val="508C2093"/>
    <w:rsid w:val="50984247"/>
    <w:rsid w:val="50A867A1"/>
    <w:rsid w:val="50BB4726"/>
    <w:rsid w:val="50E81293"/>
    <w:rsid w:val="512247A5"/>
    <w:rsid w:val="512A365A"/>
    <w:rsid w:val="51330760"/>
    <w:rsid w:val="5160707C"/>
    <w:rsid w:val="5167040A"/>
    <w:rsid w:val="519311FF"/>
    <w:rsid w:val="51BF1FF4"/>
    <w:rsid w:val="51CE2237"/>
    <w:rsid w:val="51D13AD5"/>
    <w:rsid w:val="51F003FF"/>
    <w:rsid w:val="51F85506"/>
    <w:rsid w:val="52171E30"/>
    <w:rsid w:val="523F4EE3"/>
    <w:rsid w:val="5249683C"/>
    <w:rsid w:val="525533C9"/>
    <w:rsid w:val="525F7333"/>
    <w:rsid w:val="52650233"/>
    <w:rsid w:val="52994D0A"/>
    <w:rsid w:val="52B15DE1"/>
    <w:rsid w:val="52E71802"/>
    <w:rsid w:val="52FA44BB"/>
    <w:rsid w:val="53000B16"/>
    <w:rsid w:val="533142B3"/>
    <w:rsid w:val="533B38FC"/>
    <w:rsid w:val="53560736"/>
    <w:rsid w:val="539179C0"/>
    <w:rsid w:val="539A4AC7"/>
    <w:rsid w:val="53F341D7"/>
    <w:rsid w:val="53F821E3"/>
    <w:rsid w:val="542919A7"/>
    <w:rsid w:val="5479292E"/>
    <w:rsid w:val="5495528E"/>
    <w:rsid w:val="54A02118"/>
    <w:rsid w:val="54AD6A7C"/>
    <w:rsid w:val="54AF6350"/>
    <w:rsid w:val="54B27BEE"/>
    <w:rsid w:val="54CD4A28"/>
    <w:rsid w:val="54CF69F2"/>
    <w:rsid w:val="54D538DD"/>
    <w:rsid w:val="54E83610"/>
    <w:rsid w:val="54FB77E7"/>
    <w:rsid w:val="54FC530D"/>
    <w:rsid w:val="55052414"/>
    <w:rsid w:val="55480552"/>
    <w:rsid w:val="556A7261"/>
    <w:rsid w:val="55A21A11"/>
    <w:rsid w:val="55A439DB"/>
    <w:rsid w:val="55AA6B17"/>
    <w:rsid w:val="55E262B1"/>
    <w:rsid w:val="560E52F8"/>
    <w:rsid w:val="561346BC"/>
    <w:rsid w:val="561843C9"/>
    <w:rsid w:val="56927CD7"/>
    <w:rsid w:val="56981066"/>
    <w:rsid w:val="56C854A7"/>
    <w:rsid w:val="56E05E95"/>
    <w:rsid w:val="570A1F63"/>
    <w:rsid w:val="570C5CDB"/>
    <w:rsid w:val="576C0528"/>
    <w:rsid w:val="576C677A"/>
    <w:rsid w:val="57803FD4"/>
    <w:rsid w:val="57811F4D"/>
    <w:rsid w:val="57BC2B32"/>
    <w:rsid w:val="57D64006"/>
    <w:rsid w:val="5814296E"/>
    <w:rsid w:val="58160494"/>
    <w:rsid w:val="581C3ADA"/>
    <w:rsid w:val="58343024"/>
    <w:rsid w:val="58366D88"/>
    <w:rsid w:val="584E5E80"/>
    <w:rsid w:val="585E6BB9"/>
    <w:rsid w:val="58A81A34"/>
    <w:rsid w:val="58B55EFF"/>
    <w:rsid w:val="58D75E75"/>
    <w:rsid w:val="58E32A6C"/>
    <w:rsid w:val="59123351"/>
    <w:rsid w:val="591E1CF6"/>
    <w:rsid w:val="59232E69"/>
    <w:rsid w:val="592F319D"/>
    <w:rsid w:val="59A10231"/>
    <w:rsid w:val="5A294C0A"/>
    <w:rsid w:val="5A3D7F5A"/>
    <w:rsid w:val="5A4237C2"/>
    <w:rsid w:val="5A427C66"/>
    <w:rsid w:val="5A511C57"/>
    <w:rsid w:val="5A630FD4"/>
    <w:rsid w:val="5A843DDB"/>
    <w:rsid w:val="5AA224B3"/>
    <w:rsid w:val="5AA4622B"/>
    <w:rsid w:val="5B0373F5"/>
    <w:rsid w:val="5B0D2022"/>
    <w:rsid w:val="5B150ED7"/>
    <w:rsid w:val="5B2F1F99"/>
    <w:rsid w:val="5B37709F"/>
    <w:rsid w:val="5B411CCC"/>
    <w:rsid w:val="5B861A3F"/>
    <w:rsid w:val="5BE80399"/>
    <w:rsid w:val="5C076A71"/>
    <w:rsid w:val="5C2313D1"/>
    <w:rsid w:val="5C284AE8"/>
    <w:rsid w:val="5C367357"/>
    <w:rsid w:val="5C5D6740"/>
    <w:rsid w:val="5C89392A"/>
    <w:rsid w:val="5CB639C4"/>
    <w:rsid w:val="5CC42BB4"/>
    <w:rsid w:val="5CCB5CF1"/>
    <w:rsid w:val="5D107BA8"/>
    <w:rsid w:val="5D1F603D"/>
    <w:rsid w:val="5D26561D"/>
    <w:rsid w:val="5D3E2967"/>
    <w:rsid w:val="5D5932FD"/>
    <w:rsid w:val="5D647EF4"/>
    <w:rsid w:val="5D7C523D"/>
    <w:rsid w:val="5DCF1811"/>
    <w:rsid w:val="5DDC5CDC"/>
    <w:rsid w:val="5E021BF1"/>
    <w:rsid w:val="5E03770C"/>
    <w:rsid w:val="5E040D65"/>
    <w:rsid w:val="5E1B2CA8"/>
    <w:rsid w:val="5E3B61CF"/>
    <w:rsid w:val="5E59518E"/>
    <w:rsid w:val="5E79352B"/>
    <w:rsid w:val="5E8759A2"/>
    <w:rsid w:val="5E8C325E"/>
    <w:rsid w:val="5EA66A16"/>
    <w:rsid w:val="5EAE1426"/>
    <w:rsid w:val="5EC21376"/>
    <w:rsid w:val="5EF62DCD"/>
    <w:rsid w:val="5F061262"/>
    <w:rsid w:val="5F162475"/>
    <w:rsid w:val="5F2E07B9"/>
    <w:rsid w:val="5F697A43"/>
    <w:rsid w:val="5F73441E"/>
    <w:rsid w:val="5F893C41"/>
    <w:rsid w:val="5F8A1E93"/>
    <w:rsid w:val="5FA4359A"/>
    <w:rsid w:val="600D03CE"/>
    <w:rsid w:val="60275934"/>
    <w:rsid w:val="60367925"/>
    <w:rsid w:val="6037544B"/>
    <w:rsid w:val="6039142C"/>
    <w:rsid w:val="60624BBE"/>
    <w:rsid w:val="6065020A"/>
    <w:rsid w:val="60787F3E"/>
    <w:rsid w:val="608A1A1F"/>
    <w:rsid w:val="60936B26"/>
    <w:rsid w:val="6098413C"/>
    <w:rsid w:val="60CE5DB0"/>
    <w:rsid w:val="60D4713E"/>
    <w:rsid w:val="60D64C64"/>
    <w:rsid w:val="60E92BEA"/>
    <w:rsid w:val="60F5158E"/>
    <w:rsid w:val="60FA4DF7"/>
    <w:rsid w:val="612C0D28"/>
    <w:rsid w:val="614C3178"/>
    <w:rsid w:val="61534507"/>
    <w:rsid w:val="615A7643"/>
    <w:rsid w:val="615D7134"/>
    <w:rsid w:val="61677FB2"/>
    <w:rsid w:val="617F354E"/>
    <w:rsid w:val="617F70AA"/>
    <w:rsid w:val="61A92379"/>
    <w:rsid w:val="61D513C0"/>
    <w:rsid w:val="61E17D65"/>
    <w:rsid w:val="622A34BA"/>
    <w:rsid w:val="622B7232"/>
    <w:rsid w:val="622F7324"/>
    <w:rsid w:val="623936FD"/>
    <w:rsid w:val="624A4DA0"/>
    <w:rsid w:val="625247BE"/>
    <w:rsid w:val="62662018"/>
    <w:rsid w:val="626B31A9"/>
    <w:rsid w:val="62AC2121"/>
    <w:rsid w:val="62B2525D"/>
    <w:rsid w:val="62E93375"/>
    <w:rsid w:val="631B72A6"/>
    <w:rsid w:val="63343EC4"/>
    <w:rsid w:val="63471E49"/>
    <w:rsid w:val="634C7460"/>
    <w:rsid w:val="63506D72"/>
    <w:rsid w:val="63535997"/>
    <w:rsid w:val="638B7F88"/>
    <w:rsid w:val="63D23E09"/>
    <w:rsid w:val="63F7561D"/>
    <w:rsid w:val="64030466"/>
    <w:rsid w:val="64047D3A"/>
    <w:rsid w:val="64265F03"/>
    <w:rsid w:val="64572560"/>
    <w:rsid w:val="64915A72"/>
    <w:rsid w:val="64B33C3A"/>
    <w:rsid w:val="64D63485"/>
    <w:rsid w:val="64E2007C"/>
    <w:rsid w:val="64EC4A56"/>
    <w:rsid w:val="650C50F9"/>
    <w:rsid w:val="652D3417"/>
    <w:rsid w:val="65960E66"/>
    <w:rsid w:val="65A25A5D"/>
    <w:rsid w:val="65A92C83"/>
    <w:rsid w:val="65D379C4"/>
    <w:rsid w:val="65DC0F6F"/>
    <w:rsid w:val="65F20792"/>
    <w:rsid w:val="66415276"/>
    <w:rsid w:val="66522FDF"/>
    <w:rsid w:val="66682803"/>
    <w:rsid w:val="666B40A1"/>
    <w:rsid w:val="6672542F"/>
    <w:rsid w:val="66990C0E"/>
    <w:rsid w:val="669C5B77"/>
    <w:rsid w:val="669E4476"/>
    <w:rsid w:val="66C832A1"/>
    <w:rsid w:val="66D932E1"/>
    <w:rsid w:val="66E3632D"/>
    <w:rsid w:val="674D37A6"/>
    <w:rsid w:val="675D7E8D"/>
    <w:rsid w:val="677B6565"/>
    <w:rsid w:val="678337AE"/>
    <w:rsid w:val="678616A9"/>
    <w:rsid w:val="678673E4"/>
    <w:rsid w:val="67AE693B"/>
    <w:rsid w:val="67C008AF"/>
    <w:rsid w:val="68093B71"/>
    <w:rsid w:val="680D3662"/>
    <w:rsid w:val="68662D72"/>
    <w:rsid w:val="686D4100"/>
    <w:rsid w:val="68A35D74"/>
    <w:rsid w:val="68CA3301"/>
    <w:rsid w:val="68D73C6F"/>
    <w:rsid w:val="68F465CF"/>
    <w:rsid w:val="690A7BA1"/>
    <w:rsid w:val="691A374E"/>
    <w:rsid w:val="691C78D4"/>
    <w:rsid w:val="69272501"/>
    <w:rsid w:val="692F7608"/>
    <w:rsid w:val="6949691B"/>
    <w:rsid w:val="695B03FD"/>
    <w:rsid w:val="698A0CE2"/>
    <w:rsid w:val="69902938"/>
    <w:rsid w:val="699658D9"/>
    <w:rsid w:val="69994902"/>
    <w:rsid w:val="699F29DF"/>
    <w:rsid w:val="69CE0BCF"/>
    <w:rsid w:val="69D02B99"/>
    <w:rsid w:val="69FF522C"/>
    <w:rsid w:val="6A0D5B9B"/>
    <w:rsid w:val="6A1A2066"/>
    <w:rsid w:val="6A6E4160"/>
    <w:rsid w:val="6A883473"/>
    <w:rsid w:val="6A9242F2"/>
    <w:rsid w:val="6A9A65E9"/>
    <w:rsid w:val="6ADF0BB9"/>
    <w:rsid w:val="6B43383E"/>
    <w:rsid w:val="6B480E55"/>
    <w:rsid w:val="6B713F07"/>
    <w:rsid w:val="6B9B0F84"/>
    <w:rsid w:val="6BAE0CB8"/>
    <w:rsid w:val="6BB838E4"/>
    <w:rsid w:val="6BDA5378"/>
    <w:rsid w:val="6BE0108D"/>
    <w:rsid w:val="6C1825D5"/>
    <w:rsid w:val="6C33740F"/>
    <w:rsid w:val="6C44786E"/>
    <w:rsid w:val="6C507FC1"/>
    <w:rsid w:val="6C5555D7"/>
    <w:rsid w:val="6C6756C1"/>
    <w:rsid w:val="6C726189"/>
    <w:rsid w:val="6C84589F"/>
    <w:rsid w:val="6CA95923"/>
    <w:rsid w:val="6CAC0C00"/>
    <w:rsid w:val="6D0A63C2"/>
    <w:rsid w:val="6D604233"/>
    <w:rsid w:val="6D77332B"/>
    <w:rsid w:val="6D9C0FE4"/>
    <w:rsid w:val="6DFA4688"/>
    <w:rsid w:val="6E096679"/>
    <w:rsid w:val="6E2405D5"/>
    <w:rsid w:val="6E35746E"/>
    <w:rsid w:val="6E3D27C7"/>
    <w:rsid w:val="6E697118"/>
    <w:rsid w:val="6E7C32EF"/>
    <w:rsid w:val="6E8126B3"/>
    <w:rsid w:val="6E9A5523"/>
    <w:rsid w:val="6EAB14DE"/>
    <w:rsid w:val="6ECE341F"/>
    <w:rsid w:val="6F1057E5"/>
    <w:rsid w:val="6F1277AF"/>
    <w:rsid w:val="6F143527"/>
    <w:rsid w:val="6F2319BD"/>
    <w:rsid w:val="6F29539B"/>
    <w:rsid w:val="6F343BCA"/>
    <w:rsid w:val="6F370FC4"/>
    <w:rsid w:val="6F5B5AD8"/>
    <w:rsid w:val="6F63625D"/>
    <w:rsid w:val="6F6A1ADA"/>
    <w:rsid w:val="6FBD596D"/>
    <w:rsid w:val="6FCD1928"/>
    <w:rsid w:val="6FD40F09"/>
    <w:rsid w:val="6FED5B27"/>
    <w:rsid w:val="701632CF"/>
    <w:rsid w:val="703379DD"/>
    <w:rsid w:val="70587444"/>
    <w:rsid w:val="705B6F34"/>
    <w:rsid w:val="706C7393"/>
    <w:rsid w:val="70BD7BEF"/>
    <w:rsid w:val="70C96594"/>
    <w:rsid w:val="70DE203F"/>
    <w:rsid w:val="71347EB1"/>
    <w:rsid w:val="715A53C6"/>
    <w:rsid w:val="71940950"/>
    <w:rsid w:val="719E7794"/>
    <w:rsid w:val="71C64881"/>
    <w:rsid w:val="71C8684B"/>
    <w:rsid w:val="71D21478"/>
    <w:rsid w:val="71DE606F"/>
    <w:rsid w:val="721D6B97"/>
    <w:rsid w:val="722E4900"/>
    <w:rsid w:val="72327453"/>
    <w:rsid w:val="724E6E7F"/>
    <w:rsid w:val="727560F9"/>
    <w:rsid w:val="729D3834"/>
    <w:rsid w:val="72A5093A"/>
    <w:rsid w:val="72B50B7E"/>
    <w:rsid w:val="72FA2A34"/>
    <w:rsid w:val="72FC549A"/>
    <w:rsid w:val="7346211D"/>
    <w:rsid w:val="73D9089C"/>
    <w:rsid w:val="73E62FB9"/>
    <w:rsid w:val="7499627D"/>
    <w:rsid w:val="74B44E65"/>
    <w:rsid w:val="74B86703"/>
    <w:rsid w:val="74CC6652"/>
    <w:rsid w:val="74D72160"/>
    <w:rsid w:val="74E27C24"/>
    <w:rsid w:val="74EB4D2A"/>
    <w:rsid w:val="74F839D3"/>
    <w:rsid w:val="75090057"/>
    <w:rsid w:val="757A0FE3"/>
    <w:rsid w:val="757C3BD5"/>
    <w:rsid w:val="757F1917"/>
    <w:rsid w:val="76065B94"/>
    <w:rsid w:val="7608190C"/>
    <w:rsid w:val="760B4F58"/>
    <w:rsid w:val="760F75E6"/>
    <w:rsid w:val="764010A6"/>
    <w:rsid w:val="76525E43"/>
    <w:rsid w:val="76C84BF7"/>
    <w:rsid w:val="76D31F1A"/>
    <w:rsid w:val="76DF08BF"/>
    <w:rsid w:val="76E41A31"/>
    <w:rsid w:val="77091498"/>
    <w:rsid w:val="77302EC9"/>
    <w:rsid w:val="774F4CF1"/>
    <w:rsid w:val="775766A7"/>
    <w:rsid w:val="776E1C43"/>
    <w:rsid w:val="777C5C89"/>
    <w:rsid w:val="7789082B"/>
    <w:rsid w:val="77903967"/>
    <w:rsid w:val="77B70EF4"/>
    <w:rsid w:val="77CB499F"/>
    <w:rsid w:val="77D71596"/>
    <w:rsid w:val="77E771FA"/>
    <w:rsid w:val="78485FF0"/>
    <w:rsid w:val="784C3D32"/>
    <w:rsid w:val="784D3606"/>
    <w:rsid w:val="785548AB"/>
    <w:rsid w:val="788039DC"/>
    <w:rsid w:val="793F5645"/>
    <w:rsid w:val="795A5FDB"/>
    <w:rsid w:val="79701CA2"/>
    <w:rsid w:val="797A667D"/>
    <w:rsid w:val="79910F26"/>
    <w:rsid w:val="79927E6B"/>
    <w:rsid w:val="7993773F"/>
    <w:rsid w:val="79C27EA4"/>
    <w:rsid w:val="79D00993"/>
    <w:rsid w:val="79DC0F2B"/>
    <w:rsid w:val="79F226B7"/>
    <w:rsid w:val="7A1E34AC"/>
    <w:rsid w:val="7A2F0F96"/>
    <w:rsid w:val="7A6B246A"/>
    <w:rsid w:val="7A777060"/>
    <w:rsid w:val="7A792DD8"/>
    <w:rsid w:val="7A865C06"/>
    <w:rsid w:val="7AC2588E"/>
    <w:rsid w:val="7AD4000F"/>
    <w:rsid w:val="7ADB4A03"/>
    <w:rsid w:val="7AEA5A84"/>
    <w:rsid w:val="7AF4245F"/>
    <w:rsid w:val="7AFD1314"/>
    <w:rsid w:val="7B2C1BF9"/>
    <w:rsid w:val="7B4909FD"/>
    <w:rsid w:val="7B8B684C"/>
    <w:rsid w:val="7BB51BEE"/>
    <w:rsid w:val="7BE97AEA"/>
    <w:rsid w:val="7BF00E78"/>
    <w:rsid w:val="7BFC781D"/>
    <w:rsid w:val="7C39281F"/>
    <w:rsid w:val="7C8A307B"/>
    <w:rsid w:val="7C8D2B6B"/>
    <w:rsid w:val="7CB43C54"/>
    <w:rsid w:val="7CC16371"/>
    <w:rsid w:val="7D3354C1"/>
    <w:rsid w:val="7D423956"/>
    <w:rsid w:val="7D6438CC"/>
    <w:rsid w:val="7D6E02A7"/>
    <w:rsid w:val="7D853842"/>
    <w:rsid w:val="7DCB56F9"/>
    <w:rsid w:val="7DF10ED8"/>
    <w:rsid w:val="7EA321D2"/>
    <w:rsid w:val="7EAB72D9"/>
    <w:rsid w:val="7ED24865"/>
    <w:rsid w:val="7EE30820"/>
    <w:rsid w:val="7F0D3AEF"/>
    <w:rsid w:val="7F273AD2"/>
    <w:rsid w:val="7F2B17BB"/>
    <w:rsid w:val="7F3B240A"/>
    <w:rsid w:val="7F65392B"/>
    <w:rsid w:val="7F654D01"/>
    <w:rsid w:val="7F9F6E3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spacing w:before="100" w:beforeAutospacing="1" w:after="100" w:afterAutospacing="1"/>
      <w:ind w:left="420" w:leftChars="200"/>
      <w:jc w:val="both"/>
    </w:pPr>
    <w:rPr>
      <w:rFonts w:ascii="Calibri" w:hAnsi="Calibri" w:eastAsia="宋体" w:cs="Calibri"/>
      <w:kern w:val="2"/>
      <w:sz w:val="21"/>
      <w:szCs w:val="21"/>
      <w:lang w:eastAsia="zh-CN"/>
    </w:rPr>
  </w:style>
  <w:style w:type="paragraph" w:styleId="4">
    <w:name w:val="Normal Indent"/>
    <w:basedOn w:val="1"/>
    <w:qFormat/>
    <w:uiPriority w:val="0"/>
    <w:pPr>
      <w:ind w:firstLine="420" w:firstLineChars="200"/>
    </w:pPr>
    <w:rPr>
      <w:rFonts w:ascii="Calibri" w:hAnsi="Calibri"/>
      <w:sz w:val="21"/>
    </w:rPr>
  </w:style>
  <w:style w:type="paragraph" w:styleId="5">
    <w:name w:val="Body Text"/>
    <w:basedOn w:val="1"/>
    <w:qFormat/>
    <w:uiPriority w:val="1"/>
    <w:rPr>
      <w:sz w:val="21"/>
      <w:szCs w:val="21"/>
    </w:rPr>
  </w:style>
  <w:style w:type="character" w:styleId="8">
    <w:name w:val="Hyperlink"/>
    <w:basedOn w:val="7"/>
    <w:qFormat/>
    <w:uiPriority w:val="0"/>
    <w:rPr>
      <w:color w:val="0000FF"/>
      <w:u w:val="single"/>
    </w:rPr>
  </w:style>
  <w:style w:type="paragraph" w:customStyle="1" w:styleId="9">
    <w:name w:val="Table Paragraph"/>
    <w:basedOn w:val="1"/>
    <w:autoRedefine/>
    <w:qFormat/>
    <w:uiPriority w:val="1"/>
  </w:style>
  <w:style w:type="paragraph" w:styleId="10">
    <w:name w:val="List Paragraph"/>
    <w:basedOn w:val="1"/>
    <w:autoRedefine/>
    <w:qFormat/>
    <w:uiPriority w:val="1"/>
    <w:pPr>
      <w:ind w:left="579"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1986</Words>
  <Characters>2102</Characters>
  <Lines>0</Lines>
  <Paragraphs>0</Paragraphs>
  <TotalTime>30</TotalTime>
  <ScaleCrop>false</ScaleCrop>
  <LinksUpToDate>false</LinksUpToDate>
  <CharactersWithSpaces>2102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2025-09-04T06:14:00Z</dcterms:created>
  <dc:creator>H</dc:creator>
  <cp:lastModifiedBy>TT</cp:lastModifiedBy>
  <cp:lastPrinted>2026-06-17T03:00:00Z</cp:lastPrinted>
  <dcterms:modified xsi:type="dcterms:W3CDTF">2026-06-29T03:24:45Z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11D06C73573A4DBC9DC9090E8D1D1DE3_13</vt:lpwstr>
  </property>
  <property fmtid="{D5CDD505-2E9C-101B-9397-08002B2CF9AE}" pid="4" name="KSOTemplateDocerSaveRecord">
    <vt:lpwstr>eyJoZGlkIjoiZDMzZGQ1ZTQzMmNjZTQ1ZjIyOTEzZjc1NDViZDNkZDYiLCJ1c2VySWQiOiIyOTIwNDI0ODgifQ==</vt:lpwstr>
  </property>
</Properties>
</file>