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A3CFF">
      <w:pPr>
        <w:keepNext w:val="0"/>
        <w:keepLines w:val="0"/>
        <w:pageBreakBefore w:val="0"/>
        <w:widowControl w:val="0"/>
        <w:kinsoku/>
        <w:wordWrap/>
        <w:overflowPunct/>
        <w:topLinePunct w:val="0"/>
        <w:autoSpaceDE/>
        <w:autoSpaceDN/>
        <w:bidi w:val="0"/>
        <w:snapToGrid/>
        <w:spacing w:line="600" w:lineRule="exact"/>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附件4</w:t>
      </w:r>
    </w:p>
    <w:p w14:paraId="5A631C5F">
      <w:pPr>
        <w:keepNext w:val="0"/>
        <w:keepLines w:val="0"/>
        <w:pageBreakBefore w:val="0"/>
        <w:widowControl w:val="0"/>
        <w:kinsoku/>
        <w:wordWrap/>
        <w:overflowPunct/>
        <w:topLinePunct w:val="0"/>
        <w:autoSpaceDE/>
        <w:autoSpaceDN/>
        <w:bidi w:val="0"/>
        <w:snapToGrid/>
        <w:spacing w:line="600" w:lineRule="exact"/>
        <w:jc w:val="center"/>
        <w:rPr>
          <w:rFonts w:hint="eastAsia" w:ascii="方正小标宋简体" w:hAnsi="方正小标宋简体" w:eastAsia="方正小标宋简体" w:cs="方正小标宋简体"/>
          <w:b/>
          <w:bCs/>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综合评审细则</w:t>
      </w:r>
    </w:p>
    <w:p w14:paraId="6FC5D83B">
      <w:pPr>
        <w:keepNext w:val="0"/>
        <w:keepLines w:val="0"/>
        <w:pageBreakBefore w:val="0"/>
        <w:widowControl w:val="0"/>
        <w:kinsoku/>
        <w:wordWrap/>
        <w:overflowPunct/>
        <w:topLinePunct w:val="0"/>
        <w:autoSpaceDE/>
        <w:autoSpaceDN/>
        <w:bidi w:val="0"/>
        <w:snapToGrid/>
        <w:spacing w:line="600" w:lineRule="exact"/>
        <w:rPr>
          <w:rFonts w:hint="eastAsia" w:ascii="仿宋_GB2312" w:hAnsi="仿宋_GB2312" w:eastAsia="仿宋_GB2312" w:cs="仿宋_GB2312"/>
          <w:color w:val="auto"/>
          <w:sz w:val="32"/>
          <w:szCs w:val="32"/>
          <w:highlight w:val="none"/>
        </w:rPr>
      </w:pPr>
    </w:p>
    <w:p w14:paraId="163C5BB3">
      <w:pPr>
        <w:keepNext w:val="0"/>
        <w:keepLines w:val="0"/>
        <w:pageBreakBefore w:val="0"/>
        <w:widowControl w:val="0"/>
        <w:kinsoku/>
        <w:wordWrap/>
        <w:overflowPunct/>
        <w:topLinePunct w:val="0"/>
        <w:autoSpaceDE/>
        <w:autoSpaceDN/>
        <w:bidi w:val="0"/>
        <w:snapToGrid/>
        <w:spacing w:line="600" w:lineRule="exact"/>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一、</w:t>
      </w:r>
      <w:r>
        <w:rPr>
          <w:rFonts w:hint="eastAsia" w:ascii="仿宋_GB2312" w:hAnsi="仿宋_GB2312" w:eastAsia="仿宋_GB2312" w:cs="仿宋_GB2312"/>
          <w:b/>
          <w:bCs/>
          <w:color w:val="auto"/>
          <w:sz w:val="32"/>
          <w:szCs w:val="32"/>
          <w:highlight w:val="none"/>
          <w:lang w:val="en-US" w:eastAsia="zh-CN"/>
        </w:rPr>
        <w:t>三项报价指标评审</w:t>
      </w:r>
    </w:p>
    <w:p w14:paraId="6DF7838F">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1.本项目5年总租金报价、首年升级投入报价、每年投入维护报价，以上三项报价指标，均已设置底价，意向合作方报价金额低于底价的，则视为响应文件无效，不予参与综合评审。</w:t>
      </w:r>
    </w:p>
    <w:p w14:paraId="48488273">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2.三项报价指标计分规则：</w:t>
      </w:r>
    </w:p>
    <w:p w14:paraId="4485C574">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①5年总租金报价（满分15分）</w:t>
      </w:r>
    </w:p>
    <w:p w14:paraId="09980136">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以所有意向合作方的5年总租金最高报价为基准价，意向合作方报价÷基准价×15，计算得出本项得分，得分保留两位小数。</w:t>
      </w:r>
      <w:bookmarkStart w:id="0" w:name="OLE_LINK1"/>
      <w:r>
        <w:rPr>
          <w:rFonts w:hint="eastAsia" w:ascii="仿宋_GB2312" w:hAnsi="仿宋_GB2312" w:eastAsia="仿宋_GB2312" w:cs="仿宋_GB2312"/>
          <w:color w:val="auto"/>
          <w:kern w:val="2"/>
          <w:sz w:val="32"/>
          <w:szCs w:val="32"/>
          <w:highlight w:val="none"/>
          <w:lang w:val="en-US" w:eastAsia="zh-CN" w:bidi="ar-SA"/>
        </w:rPr>
        <w:t>最高报价的意向合作方，该项得满分；</w:t>
      </w:r>
      <w:bookmarkEnd w:id="0"/>
    </w:p>
    <w:p w14:paraId="6CFDC48B">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②首年升级投入报价（满分10分）</w:t>
      </w:r>
    </w:p>
    <w:p w14:paraId="6860C578">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以所有意向合作方的首年升级投入最高报价为基准价，意向合作方报价÷基准价×10，计算得出本项得分，得分保留两位小数。最高报价的意向合作方，该项得满分；</w:t>
      </w:r>
    </w:p>
    <w:p w14:paraId="18BBC55D">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③ 投入维护报价（满分10分）</w:t>
      </w:r>
    </w:p>
    <w:p w14:paraId="68CF45E0">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以所有意向合作方的投入维护最高报价为基准价，意向合作方报价÷基准价×10，计算得出本项得分，得分保留两位小数。最高报价的意向合作方，该项得满分。</w:t>
      </w:r>
    </w:p>
    <w:p w14:paraId="672FE0A8">
      <w:pPr>
        <w:keepNext w:val="0"/>
        <w:keepLines w:val="0"/>
        <w:pageBreakBefore w:val="0"/>
        <w:widowControl w:val="0"/>
        <w:kinsoku/>
        <w:wordWrap/>
        <w:overflowPunct/>
        <w:topLinePunct w:val="0"/>
        <w:autoSpaceDE/>
        <w:autoSpaceDN/>
        <w:bidi w:val="0"/>
        <w:snapToGrid/>
        <w:spacing w:line="600" w:lineRule="exact"/>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二、商务资信综合实力指标评审</w:t>
      </w:r>
    </w:p>
    <w:p w14:paraId="1C4DD13E">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bookmarkStart w:id="1" w:name="OLE_LINK4"/>
      <w:r>
        <w:rPr>
          <w:rFonts w:hint="eastAsia" w:ascii="仿宋_GB2312" w:hAnsi="仿宋_GB2312" w:eastAsia="仿宋_GB2312" w:cs="仿宋_GB2312"/>
          <w:color w:val="auto"/>
          <w:kern w:val="2"/>
          <w:sz w:val="32"/>
          <w:szCs w:val="32"/>
          <w:highlight w:val="none"/>
          <w:lang w:val="en-US" w:eastAsia="zh-CN" w:bidi="ar-SA"/>
        </w:rPr>
        <w:t>商务资信综合实力</w:t>
      </w:r>
      <w:bookmarkEnd w:id="1"/>
      <w:r>
        <w:rPr>
          <w:rFonts w:hint="eastAsia" w:ascii="仿宋_GB2312" w:hAnsi="仿宋_GB2312" w:eastAsia="仿宋_GB2312" w:cs="仿宋_GB2312"/>
          <w:color w:val="auto"/>
          <w:kern w:val="2"/>
          <w:sz w:val="32"/>
          <w:szCs w:val="32"/>
          <w:highlight w:val="none"/>
          <w:lang w:val="en-US" w:eastAsia="zh-CN" w:bidi="ar-SA"/>
        </w:rPr>
        <w:t>（30分，封顶30分），其中：</w:t>
      </w:r>
    </w:p>
    <w:p w14:paraId="66E4A1CC">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bookmarkStart w:id="2" w:name="OLE_LINK5"/>
      <w:r>
        <w:rPr>
          <w:rFonts w:hint="eastAsia" w:ascii="仿宋_GB2312" w:hAnsi="仿宋_GB2312" w:eastAsia="仿宋_GB2312" w:cs="仿宋_GB2312"/>
          <w:color w:val="auto"/>
          <w:sz w:val="32"/>
          <w:szCs w:val="32"/>
          <w:highlight w:val="none"/>
          <w:lang w:val="en-US" w:eastAsia="zh-CN"/>
        </w:rPr>
        <w:t>赛事荣誉</w:t>
      </w:r>
      <w:r>
        <w:rPr>
          <w:rFonts w:hint="eastAsia" w:ascii="仿宋_GB2312" w:hAnsi="仿宋_GB2312" w:eastAsia="仿宋_GB2312" w:cs="仿宋_GB2312"/>
          <w:color w:val="0000FF"/>
          <w:sz w:val="32"/>
          <w:szCs w:val="32"/>
          <w:highlight w:val="none"/>
          <w:lang w:val="en-US" w:eastAsia="zh-CN"/>
        </w:rPr>
        <w:t>（7分）</w:t>
      </w:r>
    </w:p>
    <w:p w14:paraId="3064D64B">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近三年（2023-2025年）组织队伍或人员参加省级各类运动会（群众体育类网球项目）比赛获前三名：每个奖项得5分（封顶7分）。</w:t>
      </w:r>
    </w:p>
    <w:bookmarkEnd w:id="2"/>
    <w:p w14:paraId="0B0B1F41">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评审认定规则：需提供赛事获奖名次等相关佐证资料，并同步提供参赛队或队员或领队或教练员隶属意向合作方的相关佐证资料，</w:t>
      </w:r>
      <w:bookmarkStart w:id="3" w:name="OLE_LINK2"/>
      <w:r>
        <w:rPr>
          <w:rFonts w:hint="eastAsia" w:ascii="仿宋_GB2312" w:hAnsi="仿宋_GB2312" w:eastAsia="仿宋_GB2312" w:cs="仿宋_GB2312"/>
          <w:color w:val="auto"/>
          <w:sz w:val="32"/>
          <w:szCs w:val="32"/>
          <w:highlight w:val="none"/>
          <w:lang w:val="en-US" w:eastAsia="zh-CN"/>
        </w:rPr>
        <w:t>经评审组审核确认后计分。</w:t>
      </w:r>
      <w:bookmarkEnd w:id="3"/>
    </w:p>
    <w:p w14:paraId="44321250">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2.赛事组织能力</w:t>
      </w:r>
      <w:r>
        <w:rPr>
          <w:rFonts w:hint="eastAsia" w:ascii="仿宋_GB2312" w:hAnsi="仿宋_GB2312" w:eastAsia="仿宋_GB2312" w:cs="仿宋_GB2312"/>
          <w:color w:val="0000FF"/>
          <w:kern w:val="2"/>
          <w:sz w:val="32"/>
          <w:szCs w:val="32"/>
          <w:highlight w:val="none"/>
          <w:lang w:val="en-US" w:eastAsia="zh-CN" w:bidi="ar-SA"/>
        </w:rPr>
        <w:t>（12分）</w:t>
      </w:r>
    </w:p>
    <w:p w14:paraId="039ABF34">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①</w:t>
      </w:r>
      <w:r>
        <w:rPr>
          <w:rFonts w:hint="eastAsia" w:ascii="仿宋_GB2312" w:hAnsi="仿宋_GB2312" w:eastAsia="仿宋_GB2312" w:cs="仿宋_GB2312"/>
          <w:color w:val="auto"/>
          <w:sz w:val="32"/>
          <w:szCs w:val="32"/>
          <w:highlight w:val="none"/>
          <w:lang w:val="en-US" w:eastAsia="zh-CN"/>
        </w:rPr>
        <w:t>近三年（2023-2025年）组织队伍或人员参加国家级网球比赛，每参加一次得4分（封顶5分）；</w:t>
      </w:r>
    </w:p>
    <w:p w14:paraId="43BCA137">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评审认定规则：提供参赛队伍或人员的参赛相关佐证资料，并同步提供参赛队或队员或领队或教练员隶属意向合作方的相关佐证资料，经评审组审核确认后计分。</w:t>
      </w:r>
    </w:p>
    <w:p w14:paraId="174AF804">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②</w:t>
      </w:r>
      <w:r>
        <w:rPr>
          <w:rFonts w:hint="eastAsia" w:ascii="仿宋_GB2312" w:hAnsi="仿宋_GB2312" w:eastAsia="仿宋_GB2312" w:cs="仿宋_GB2312"/>
          <w:color w:val="auto"/>
          <w:sz w:val="32"/>
          <w:szCs w:val="32"/>
          <w:highlight w:val="none"/>
          <w:lang w:val="en-US" w:eastAsia="zh-CN"/>
        </w:rPr>
        <w:t>组织队伍或人员参加湖北省运动会网球项目比赛：每参加一届得4分（封顶7分）。</w:t>
      </w:r>
    </w:p>
    <w:p w14:paraId="2E9D492A">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评审认定规则：提供参赛队伍或人员的参赛相关佐证资料，并同步提供参赛队或队员或领队或教练员隶属意向合作方的相关佐证资料，经评审组审核确认后计分。</w:t>
      </w:r>
    </w:p>
    <w:p w14:paraId="12BD7BF4">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3.专业力量</w:t>
      </w:r>
      <w:r>
        <w:rPr>
          <w:rFonts w:hint="eastAsia" w:ascii="仿宋_GB2312" w:hAnsi="仿宋_GB2312" w:eastAsia="仿宋_GB2312" w:cs="仿宋_GB2312"/>
          <w:color w:val="0000FF"/>
          <w:sz w:val="32"/>
          <w:szCs w:val="32"/>
          <w:highlight w:val="none"/>
          <w:lang w:val="en-US" w:eastAsia="zh-CN"/>
        </w:rPr>
        <w:t>（11分）</w:t>
      </w:r>
    </w:p>
    <w:p w14:paraId="083E4834">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①持有中级或高级</w:t>
      </w:r>
      <w:r>
        <w:rPr>
          <w:rFonts w:hint="eastAsia" w:ascii="仿宋_GB2312" w:hAnsi="仿宋_GB2312" w:eastAsia="仿宋_GB2312" w:cs="仿宋_GB2312"/>
          <w:color w:val="auto"/>
          <w:sz w:val="32"/>
          <w:szCs w:val="32"/>
          <w:highlight w:val="none"/>
          <w:lang w:val="en-US" w:eastAsia="zh-CN"/>
        </w:rPr>
        <w:t>ITF教练员证书：得4分，1人同时持有中级或高级证书的，不重复计分（4分封顶）。认定规则：需提供发证主体中国网球协会颁发的证书证明，同时提供持证</w:t>
      </w:r>
      <w:r>
        <w:rPr>
          <w:rFonts w:hint="eastAsia" w:ascii="仿宋_GB2312" w:hAnsi="仿宋_GB2312" w:eastAsia="仿宋_GB2312" w:cs="仿宋_GB2312"/>
          <w:color w:val="auto"/>
          <w:kern w:val="2"/>
          <w:sz w:val="32"/>
          <w:szCs w:val="32"/>
          <w:highlight w:val="none"/>
          <w:lang w:val="en-US" w:eastAsia="zh-CN" w:bidi="ar-SA"/>
        </w:rPr>
        <w:t>教练员</w:t>
      </w:r>
      <w:r>
        <w:rPr>
          <w:rFonts w:hint="eastAsia" w:ascii="仿宋_GB2312" w:hAnsi="仿宋_GB2312" w:eastAsia="仿宋_GB2312" w:cs="仿宋_GB2312"/>
          <w:color w:val="auto"/>
          <w:sz w:val="32"/>
          <w:szCs w:val="32"/>
          <w:highlight w:val="none"/>
          <w:lang w:val="en-US" w:eastAsia="zh-CN"/>
        </w:rPr>
        <w:t>隶属意向合作方的相关佐证资料，经评审组审核确认后计分。</w:t>
      </w:r>
    </w:p>
    <w:p w14:paraId="32A1D2AD">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②持有中级或高级网球教练员岗位合格证书：</w:t>
      </w:r>
      <w:r>
        <w:rPr>
          <w:rFonts w:hint="eastAsia" w:ascii="仿宋_GB2312" w:hAnsi="仿宋_GB2312" w:eastAsia="仿宋_GB2312" w:cs="仿宋_GB2312"/>
          <w:color w:val="auto"/>
          <w:sz w:val="32"/>
          <w:szCs w:val="32"/>
          <w:highlight w:val="none"/>
          <w:lang w:val="en-US" w:eastAsia="zh-CN"/>
        </w:rPr>
        <w:t>得1分</w:t>
      </w:r>
      <w:r>
        <w:rPr>
          <w:rFonts w:hint="eastAsia" w:ascii="仿宋_GB2312" w:hAnsi="仿宋_GB2312"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sz w:val="32"/>
          <w:szCs w:val="32"/>
          <w:highlight w:val="none"/>
          <w:lang w:val="en-US" w:eastAsia="zh-CN"/>
        </w:rPr>
        <w:t>分封顶），1人同时持有中级或高级</w:t>
      </w:r>
      <w:r>
        <w:rPr>
          <w:rFonts w:hint="eastAsia" w:ascii="仿宋_GB2312" w:hAnsi="仿宋_GB2312" w:eastAsia="仿宋_GB2312" w:cs="仿宋_GB2312"/>
          <w:color w:val="auto"/>
          <w:kern w:val="2"/>
          <w:sz w:val="32"/>
          <w:szCs w:val="32"/>
          <w:highlight w:val="none"/>
          <w:lang w:val="en-US" w:eastAsia="zh-CN" w:bidi="ar-SA"/>
        </w:rPr>
        <w:t>网球教练员岗位合格证书</w:t>
      </w:r>
      <w:r>
        <w:rPr>
          <w:rFonts w:hint="eastAsia" w:ascii="仿宋_GB2312" w:hAnsi="仿宋_GB2312" w:eastAsia="仿宋_GB2312" w:cs="仿宋_GB2312"/>
          <w:color w:val="auto"/>
          <w:sz w:val="32"/>
          <w:szCs w:val="32"/>
          <w:highlight w:val="none"/>
          <w:lang w:val="en-US" w:eastAsia="zh-CN"/>
        </w:rPr>
        <w:t>的，不重复计分。认定规则：需提供国家体育总局科教室颁发的证书证明，同时提供持证</w:t>
      </w:r>
      <w:r>
        <w:rPr>
          <w:rFonts w:hint="eastAsia" w:ascii="仿宋_GB2312" w:hAnsi="仿宋_GB2312" w:eastAsia="仿宋_GB2312" w:cs="仿宋_GB2312"/>
          <w:color w:val="auto"/>
          <w:kern w:val="2"/>
          <w:sz w:val="32"/>
          <w:szCs w:val="32"/>
          <w:highlight w:val="none"/>
          <w:lang w:val="en-US" w:eastAsia="zh-CN" w:bidi="ar-SA"/>
        </w:rPr>
        <w:t>教练员隶属</w:t>
      </w:r>
      <w:r>
        <w:rPr>
          <w:rFonts w:hint="eastAsia" w:ascii="仿宋_GB2312" w:hAnsi="仿宋_GB2312" w:eastAsia="仿宋_GB2312" w:cs="仿宋_GB2312"/>
          <w:color w:val="auto"/>
          <w:sz w:val="32"/>
          <w:szCs w:val="32"/>
          <w:highlight w:val="none"/>
          <w:lang w:val="en-US" w:eastAsia="zh-CN"/>
        </w:rPr>
        <w:t>意向合作方的相关佐证资料，经评审组审核确认后计分。</w:t>
      </w:r>
    </w:p>
    <w:p w14:paraId="717A6142">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③持有一级</w:t>
      </w:r>
      <w:r>
        <w:rPr>
          <w:rFonts w:hint="eastAsia" w:ascii="仿宋_GB2312" w:hAnsi="仿宋_GB2312" w:eastAsia="仿宋_GB2312" w:cs="仿宋_GB2312"/>
          <w:color w:val="auto"/>
          <w:sz w:val="32"/>
          <w:szCs w:val="32"/>
          <w:highlight w:val="none"/>
          <w:lang w:val="en-US" w:eastAsia="zh-CN"/>
        </w:rPr>
        <w:t>或其它等级</w:t>
      </w:r>
      <w:r>
        <w:rPr>
          <w:rFonts w:hint="eastAsia" w:ascii="仿宋_GB2312" w:hAnsi="仿宋_GB2312" w:eastAsia="仿宋_GB2312" w:cs="仿宋_GB2312"/>
          <w:color w:val="auto"/>
          <w:kern w:val="2"/>
          <w:sz w:val="32"/>
          <w:szCs w:val="32"/>
          <w:highlight w:val="none"/>
          <w:lang w:val="en-US" w:eastAsia="zh-CN" w:bidi="ar-SA"/>
        </w:rPr>
        <w:t>网球裁判员证书：</w:t>
      </w:r>
      <w:r>
        <w:rPr>
          <w:rFonts w:hint="eastAsia" w:ascii="仿宋_GB2312" w:hAnsi="仿宋_GB2312" w:eastAsia="仿宋_GB2312" w:cs="仿宋_GB2312"/>
          <w:color w:val="auto"/>
          <w:sz w:val="32"/>
          <w:szCs w:val="32"/>
          <w:highlight w:val="none"/>
          <w:lang w:val="en-US" w:eastAsia="zh-CN"/>
        </w:rPr>
        <w:t>得1分</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1分封顶），1人同时持有一级或其它等级</w:t>
      </w:r>
      <w:r>
        <w:rPr>
          <w:rFonts w:hint="eastAsia" w:ascii="仿宋_GB2312" w:hAnsi="仿宋_GB2312" w:eastAsia="仿宋_GB2312" w:cs="仿宋_GB2312"/>
          <w:color w:val="auto"/>
          <w:kern w:val="2"/>
          <w:sz w:val="32"/>
          <w:szCs w:val="32"/>
          <w:highlight w:val="none"/>
          <w:lang w:val="en-US" w:eastAsia="zh-CN" w:bidi="ar-SA"/>
        </w:rPr>
        <w:t>网球裁判员</w:t>
      </w:r>
      <w:r>
        <w:rPr>
          <w:rFonts w:hint="eastAsia" w:ascii="仿宋_GB2312" w:hAnsi="仿宋_GB2312" w:eastAsia="仿宋_GB2312" w:cs="仿宋_GB2312"/>
          <w:color w:val="auto"/>
          <w:sz w:val="32"/>
          <w:szCs w:val="32"/>
          <w:highlight w:val="none"/>
          <w:lang w:val="en-US" w:eastAsia="zh-CN"/>
        </w:rPr>
        <w:t>证书的，不重复计分。认定规则：需提供发证主体国家体育局颁发的证书证明，同时提供持证</w:t>
      </w:r>
      <w:r>
        <w:rPr>
          <w:rFonts w:hint="eastAsia" w:ascii="仿宋_GB2312" w:hAnsi="仿宋_GB2312" w:eastAsia="仿宋_GB2312" w:cs="仿宋_GB2312"/>
          <w:color w:val="auto"/>
          <w:kern w:val="2"/>
          <w:sz w:val="32"/>
          <w:szCs w:val="32"/>
          <w:highlight w:val="none"/>
          <w:lang w:val="en-US" w:eastAsia="zh-CN" w:bidi="ar-SA"/>
        </w:rPr>
        <w:t>网球裁判员隶属</w:t>
      </w:r>
      <w:r>
        <w:rPr>
          <w:rFonts w:hint="eastAsia" w:ascii="仿宋_GB2312" w:hAnsi="仿宋_GB2312" w:eastAsia="仿宋_GB2312" w:cs="仿宋_GB2312"/>
          <w:color w:val="auto"/>
          <w:sz w:val="32"/>
          <w:szCs w:val="32"/>
          <w:highlight w:val="none"/>
          <w:lang w:val="en-US" w:eastAsia="zh-CN"/>
        </w:rPr>
        <w:t>意向合作方的相关佐证资料，经评审组审核确认后计分。</w:t>
      </w:r>
    </w:p>
    <w:p w14:paraId="0C7604D3">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④持有一级或二级社会体育指导员（指导项目网球）证书：得1分（1分封顶），</w:t>
      </w:r>
      <w:r>
        <w:rPr>
          <w:rFonts w:hint="eastAsia" w:ascii="仿宋_GB2312" w:hAnsi="仿宋_GB2312" w:eastAsia="仿宋_GB2312" w:cs="仿宋_GB2312"/>
          <w:color w:val="auto"/>
          <w:sz w:val="32"/>
          <w:szCs w:val="32"/>
          <w:highlight w:val="none"/>
          <w:lang w:val="en-US" w:eastAsia="zh-CN"/>
        </w:rPr>
        <w:t>1人同时持有一级或二级</w:t>
      </w:r>
      <w:r>
        <w:rPr>
          <w:rFonts w:hint="eastAsia" w:ascii="仿宋_GB2312" w:hAnsi="仿宋_GB2312" w:eastAsia="仿宋_GB2312" w:cs="仿宋_GB2312"/>
          <w:color w:val="auto"/>
          <w:kern w:val="2"/>
          <w:sz w:val="32"/>
          <w:szCs w:val="32"/>
          <w:highlight w:val="none"/>
          <w:lang w:val="en-US" w:eastAsia="zh-CN" w:bidi="ar-SA"/>
        </w:rPr>
        <w:t>社会体育指导员（指导项目网球）</w:t>
      </w:r>
      <w:r>
        <w:rPr>
          <w:rFonts w:hint="eastAsia" w:ascii="仿宋_GB2312" w:hAnsi="仿宋_GB2312" w:eastAsia="仿宋_GB2312" w:cs="仿宋_GB2312"/>
          <w:color w:val="auto"/>
          <w:sz w:val="32"/>
          <w:szCs w:val="32"/>
          <w:highlight w:val="none"/>
          <w:lang w:val="en-US" w:eastAsia="zh-CN"/>
        </w:rPr>
        <w:t>证书的，不重复计分</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认定规则：需提供发证主体湖北省体育局或湖北省体育局网球管理中心颁发的证书证明，同时提供持证</w:t>
      </w:r>
      <w:r>
        <w:rPr>
          <w:rFonts w:hint="eastAsia" w:ascii="仿宋_GB2312" w:hAnsi="仿宋_GB2312" w:eastAsia="仿宋_GB2312" w:cs="仿宋_GB2312"/>
          <w:color w:val="auto"/>
          <w:kern w:val="2"/>
          <w:sz w:val="32"/>
          <w:szCs w:val="32"/>
          <w:highlight w:val="none"/>
          <w:lang w:val="en-US" w:eastAsia="zh-CN" w:bidi="ar-SA"/>
        </w:rPr>
        <w:t>人员</w:t>
      </w:r>
      <w:r>
        <w:rPr>
          <w:rFonts w:hint="eastAsia" w:ascii="仿宋_GB2312" w:hAnsi="仿宋_GB2312" w:eastAsia="仿宋_GB2312" w:cs="仿宋_GB2312"/>
          <w:color w:val="auto"/>
          <w:sz w:val="32"/>
          <w:szCs w:val="32"/>
          <w:highlight w:val="none"/>
          <w:lang w:val="en-US" w:eastAsia="zh-CN"/>
        </w:rPr>
        <w:t>隶属意向合作方的相关佐证资料，经评审组审核确认后计分。</w:t>
      </w:r>
    </w:p>
    <w:p w14:paraId="366017E1">
      <w:pPr>
        <w:pStyle w:val="2"/>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bookmarkStart w:id="4" w:name="OLE_LINK3"/>
      <w:r>
        <w:rPr>
          <w:rFonts w:hint="eastAsia" w:ascii="仿宋_GB2312" w:hAnsi="仿宋_GB2312" w:eastAsia="仿宋_GB2312" w:cs="仿宋_GB2312"/>
          <w:color w:val="auto"/>
          <w:kern w:val="2"/>
          <w:sz w:val="32"/>
          <w:szCs w:val="32"/>
          <w:highlight w:val="none"/>
          <w:lang w:val="en-US" w:eastAsia="zh-CN" w:bidi="ar-SA"/>
        </w:rPr>
        <w:t>⑤</w:t>
      </w:r>
      <w:bookmarkEnd w:id="4"/>
      <w:r>
        <w:rPr>
          <w:rFonts w:hint="eastAsia" w:ascii="仿宋_GB2312" w:hAnsi="仿宋_GB2312" w:eastAsia="仿宋_GB2312" w:cs="仿宋_GB2312"/>
          <w:color w:val="auto"/>
          <w:kern w:val="2"/>
          <w:sz w:val="32"/>
          <w:szCs w:val="32"/>
          <w:highlight w:val="none"/>
          <w:lang w:val="en-US" w:eastAsia="zh-CN" w:bidi="ar-SA"/>
        </w:rPr>
        <w:t>国际头部网球品牌签约教练，得4分（封顶4分），认定规则：需提供合作协议书，同时提供该签约教练隶属意向合作方的相关佐证资料，经评审组审核确认后计分。</w:t>
      </w:r>
    </w:p>
    <w:p w14:paraId="566B8B23">
      <w:pPr>
        <w:keepNext w:val="0"/>
        <w:keepLines w:val="0"/>
        <w:pageBreakBefore w:val="0"/>
        <w:widowControl w:val="0"/>
        <w:kinsoku/>
        <w:wordWrap/>
        <w:overflowPunct/>
        <w:topLinePunct w:val="0"/>
        <w:autoSpaceDE/>
        <w:autoSpaceDN/>
        <w:bidi w:val="0"/>
        <w:snapToGrid/>
        <w:spacing w:line="600" w:lineRule="exact"/>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三、网球场运营方案评审（35分）</w:t>
      </w:r>
    </w:p>
    <w:p w14:paraId="270A83A9">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方案包含整体运营思路、网球赛事活动策划思路、场地运维及配套服务思路、市场推广思路等维度，内容详实完整、思路清晰合理，符合本项目运营需求。</w:t>
      </w:r>
    </w:p>
    <w:p w14:paraId="026E3F37">
      <w:bookmarkStart w:id="5" w:name="_GoBack"/>
      <w:bookmarkEnd w:id="5"/>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07C7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6A710">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A6A710">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3C1FDD"/>
    <w:rsid w:val="103C1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adjustRightInd w:val="0"/>
      <w:spacing w:line="360" w:lineRule="auto"/>
      <w:ind w:firstLine="420" w:firstLineChars="100"/>
      <w:textAlignment w:val="baseline"/>
    </w:pPr>
    <w:rPr>
      <w:rFonts w:eastAsia="仿宋"/>
      <w:sz w:val="24"/>
    </w:rPr>
  </w:style>
  <w:style w:type="paragraph" w:styleId="3">
    <w:name w:val="Body Text"/>
    <w:basedOn w:val="1"/>
    <w:unhideWhenUsed/>
    <w:qFormat/>
    <w:uiPriority w:val="1"/>
    <w:pPr>
      <w:spacing w:after="120"/>
    </w:pPr>
    <w:rPr>
      <w:rFonts w:ascii="宋体" w:hAnsi="宋体" w:eastAsiaTheme="minorEastAsia" w:cstheme="minorBidi"/>
      <w:kern w:val="2"/>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2026-06-26T12:35:00Z</dcterms:created>
  <dc:creator>TT</dc:creator>
  <cp:lastModifiedBy>TT</cp:lastModifiedBy>
  <dcterms:modified xsi:type="dcterms:W3CDTF">2026-06-26T12:36:57Z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E40E17445FA84995BDB09DEBECD58441_11</vt:lpwstr>
  </property>
  <property fmtid="{D5CDD505-2E9C-101B-9397-08002B2CF9AE}" pid="4" name="KSOTemplateDocerSaveRecord">
    <vt:lpwstr>eyJoZGlkIjoiMmQ5NzE3NTI3ZThkNTZjYmRhZDQxNjI4ZDRlMGQxMTMiLCJ1c2VySWQiOiI4NjQ2NjA3NzYifQ==</vt:lpwstr>
  </property>
</Properties>
</file>