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24432">
      <w:pPr>
        <w:pStyle w:val="3"/>
        <w:spacing w:before="29" w:line="440" w:lineRule="exact"/>
        <w:ind w:right="18"/>
        <w:rPr>
          <w:bCs/>
          <w:sz w:val="28"/>
          <w:szCs w:val="28"/>
          <w:highlight w:val="none"/>
        </w:rPr>
      </w:pPr>
      <w:r>
        <w:rPr>
          <w:rFonts w:hint="eastAsia" w:ascii="黑体" w:hAnsi="黑体" w:eastAsia="黑体" w:cs="黑体"/>
          <w:b/>
          <w:bCs/>
          <w:sz w:val="28"/>
          <w:szCs w:val="28"/>
          <w:highlight w:val="none"/>
          <w:lang w:val="en-US"/>
        </w:rPr>
        <w:t>附件4:</w:t>
      </w:r>
      <w:r>
        <w:rPr>
          <w:rStyle w:val="10"/>
          <w:rFonts w:hint="eastAsia"/>
          <w:sz w:val="28"/>
          <w:szCs w:val="28"/>
          <w:highlight w:val="none"/>
        </w:rPr>
        <w:t>合同</w:t>
      </w:r>
      <w:r>
        <w:rPr>
          <w:rStyle w:val="10"/>
          <w:rFonts w:hint="eastAsia"/>
          <w:sz w:val="28"/>
          <w:szCs w:val="28"/>
          <w:highlight w:val="none"/>
          <w:lang w:val="en-US"/>
        </w:rPr>
        <w:t>模板</w:t>
      </w:r>
      <w:r>
        <w:rPr>
          <w:rStyle w:val="10"/>
          <w:rFonts w:hint="eastAsia"/>
          <w:sz w:val="28"/>
          <w:szCs w:val="28"/>
          <w:highlight w:val="none"/>
        </w:rPr>
        <w:t>（</w:t>
      </w:r>
      <w:r>
        <w:rPr>
          <w:rStyle w:val="10"/>
          <w:rFonts w:hint="eastAsia"/>
          <w:sz w:val="28"/>
          <w:szCs w:val="28"/>
          <w:highlight w:val="none"/>
          <w:lang w:val="en-US"/>
        </w:rPr>
        <w:t>以</w:t>
      </w:r>
      <w:r>
        <w:rPr>
          <w:rStyle w:val="10"/>
          <w:rFonts w:hint="eastAsia"/>
          <w:sz w:val="28"/>
          <w:szCs w:val="28"/>
          <w:highlight w:val="none"/>
        </w:rPr>
        <w:t>签订合同为准）</w:t>
      </w:r>
    </w:p>
    <w:p w14:paraId="7F6D13A4">
      <w:pPr>
        <w:rPr>
          <w:bCs/>
          <w:sz w:val="24"/>
          <w:szCs w:val="24"/>
          <w:highlight w:val="none"/>
        </w:rPr>
      </w:pPr>
      <w:r>
        <w:rPr>
          <w:rFonts w:hint="eastAsia"/>
          <w:bCs/>
          <w:sz w:val="24"/>
          <w:szCs w:val="24"/>
          <w:highlight w:val="none"/>
        </w:rPr>
        <w:t>GF—2015—0212</w:t>
      </w:r>
    </w:p>
    <w:p w14:paraId="5AE769C9">
      <w:pPr>
        <w:ind w:firstLine="4480" w:firstLineChars="1600"/>
        <w:rPr>
          <w:bCs/>
          <w:sz w:val="28"/>
          <w:szCs w:val="21"/>
          <w:highlight w:val="none"/>
        </w:rPr>
      </w:pPr>
    </w:p>
    <w:p w14:paraId="3FF5B722">
      <w:pPr>
        <w:ind w:firstLine="4480" w:firstLineChars="1600"/>
        <w:jc w:val="left"/>
        <w:rPr>
          <w:bCs/>
          <w:sz w:val="28"/>
          <w:szCs w:val="21"/>
          <w:highlight w:val="none"/>
          <w:u w:val="single"/>
        </w:rPr>
      </w:pPr>
      <w:bookmarkStart w:id="38" w:name="_GoBack"/>
      <w:bookmarkEnd w:id="38"/>
      <w:r>
        <w:rPr>
          <w:rFonts w:hint="eastAsia"/>
          <w:bCs/>
          <w:sz w:val="28"/>
          <w:szCs w:val="21"/>
          <w:highlight w:val="none"/>
        </w:rPr>
        <w:t>合同编号：</w:t>
      </w:r>
      <w:r>
        <w:rPr>
          <w:rFonts w:hint="eastAsia"/>
          <w:bCs/>
          <w:sz w:val="28"/>
          <w:szCs w:val="21"/>
          <w:highlight w:val="none"/>
          <w:u w:val="single"/>
        </w:rPr>
        <w:t xml:space="preserve">                </w:t>
      </w:r>
    </w:p>
    <w:p w14:paraId="650D5EFB">
      <w:pPr>
        <w:rPr>
          <w:bCs/>
          <w:highlight w:val="none"/>
        </w:rPr>
      </w:pPr>
    </w:p>
    <w:p w14:paraId="08FDFD8C">
      <w:pPr>
        <w:rPr>
          <w:bCs/>
          <w:highlight w:val="none"/>
        </w:rPr>
      </w:pPr>
    </w:p>
    <w:p w14:paraId="2A68E022">
      <w:pPr>
        <w:rPr>
          <w:bCs/>
          <w:highlight w:val="none"/>
        </w:rPr>
      </w:pPr>
    </w:p>
    <w:p w14:paraId="3EC9B6D7">
      <w:pPr>
        <w:rPr>
          <w:bCs/>
          <w:highlight w:val="none"/>
        </w:rPr>
      </w:pPr>
    </w:p>
    <w:p w14:paraId="429BE8B6">
      <w:pPr>
        <w:rPr>
          <w:bCs/>
          <w:highlight w:val="none"/>
        </w:rPr>
      </w:pPr>
    </w:p>
    <w:p w14:paraId="081CD295">
      <w:pPr>
        <w:rPr>
          <w:bCs/>
          <w:highlight w:val="none"/>
        </w:rPr>
      </w:pPr>
    </w:p>
    <w:p w14:paraId="5F4851F2">
      <w:pPr>
        <w:jc w:val="center"/>
        <w:rPr>
          <w:bCs/>
          <w:sz w:val="72"/>
          <w:szCs w:val="72"/>
          <w:highlight w:val="none"/>
        </w:rPr>
      </w:pPr>
      <w:r>
        <w:rPr>
          <w:rFonts w:hint="eastAsia"/>
          <w:bCs/>
          <w:sz w:val="72"/>
          <w:szCs w:val="72"/>
          <w:highlight w:val="none"/>
        </w:rPr>
        <w:t>建设工程造价咨询合同</w:t>
      </w:r>
    </w:p>
    <w:p w14:paraId="623CBE0D">
      <w:pPr>
        <w:jc w:val="center"/>
        <w:rPr>
          <w:bCs/>
          <w:sz w:val="52"/>
          <w:szCs w:val="52"/>
          <w:highlight w:val="none"/>
        </w:rPr>
      </w:pPr>
      <w:r>
        <w:rPr>
          <w:rFonts w:hint="eastAsia"/>
          <w:bCs/>
          <w:sz w:val="52"/>
          <w:szCs w:val="52"/>
          <w:highlight w:val="none"/>
        </w:rPr>
        <w:t>（示范文本）</w:t>
      </w:r>
    </w:p>
    <w:p w14:paraId="67D1561A">
      <w:pPr>
        <w:rPr>
          <w:bCs/>
          <w:highlight w:val="none"/>
        </w:rPr>
      </w:pPr>
    </w:p>
    <w:p w14:paraId="68795A41">
      <w:pPr>
        <w:rPr>
          <w:bCs/>
          <w:highlight w:val="none"/>
        </w:rPr>
      </w:pPr>
    </w:p>
    <w:p w14:paraId="6D56C931">
      <w:pPr>
        <w:rPr>
          <w:bCs/>
          <w:highlight w:val="none"/>
        </w:rPr>
      </w:pPr>
    </w:p>
    <w:p w14:paraId="4DBC22FA">
      <w:pPr>
        <w:rPr>
          <w:bCs/>
          <w:highlight w:val="none"/>
        </w:rPr>
      </w:pPr>
    </w:p>
    <w:p w14:paraId="69069B51">
      <w:pPr>
        <w:rPr>
          <w:bCs/>
          <w:highlight w:val="none"/>
        </w:rPr>
      </w:pPr>
    </w:p>
    <w:p w14:paraId="6EA1153C">
      <w:pPr>
        <w:rPr>
          <w:bCs/>
          <w:highlight w:val="none"/>
        </w:rPr>
      </w:pPr>
    </w:p>
    <w:p w14:paraId="4D1BE1E1">
      <w:pPr>
        <w:rPr>
          <w:bCs/>
          <w:highlight w:val="none"/>
        </w:rPr>
      </w:pPr>
    </w:p>
    <w:p w14:paraId="5B8B3238">
      <w:pPr>
        <w:rPr>
          <w:bCs/>
          <w:highlight w:val="none"/>
        </w:rPr>
      </w:pPr>
    </w:p>
    <w:p w14:paraId="06E6C5C9">
      <w:pPr>
        <w:rPr>
          <w:bCs/>
          <w:highlight w:val="none"/>
        </w:rPr>
      </w:pPr>
    </w:p>
    <w:p w14:paraId="486FF5DA">
      <w:pPr>
        <w:rPr>
          <w:bCs/>
          <w:highlight w:val="none"/>
        </w:rPr>
      </w:pPr>
    </w:p>
    <w:p w14:paraId="3C0C971E">
      <w:pPr>
        <w:spacing w:line="400" w:lineRule="exact"/>
        <w:ind w:firstLine="2240" w:firstLineChars="800"/>
        <w:rPr>
          <w:bCs/>
          <w:sz w:val="28"/>
          <w:szCs w:val="28"/>
          <w:highlight w:val="none"/>
        </w:rPr>
      </w:pPr>
      <w:r>
        <w:rPr>
          <w:rFonts w:hint="eastAsia"/>
          <w:bCs/>
          <w:sz w:val="28"/>
          <w:szCs w:val="28"/>
          <w:highlight w:val="none"/>
        </w:rPr>
        <w:t>住 房 城 乡 建 设 部</w:t>
      </w:r>
    </w:p>
    <w:p w14:paraId="71811A3B">
      <w:pPr>
        <w:spacing w:line="400" w:lineRule="exact"/>
        <w:ind w:firstLine="5320" w:firstLineChars="1900"/>
        <w:rPr>
          <w:bCs/>
          <w:sz w:val="28"/>
          <w:szCs w:val="28"/>
          <w:highlight w:val="none"/>
        </w:rPr>
      </w:pPr>
      <w:r>
        <w:rPr>
          <w:rFonts w:hint="eastAsia"/>
          <w:bCs/>
          <w:sz w:val="28"/>
          <w:szCs w:val="28"/>
          <w:highlight w:val="none"/>
        </w:rPr>
        <w:t>制定</w:t>
      </w:r>
    </w:p>
    <w:p w14:paraId="45548211">
      <w:pPr>
        <w:spacing w:line="400" w:lineRule="exact"/>
        <w:ind w:firstLine="2240" w:firstLineChars="800"/>
        <w:rPr>
          <w:bCs/>
          <w:sz w:val="36"/>
          <w:szCs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bCs/>
          <w:sz w:val="28"/>
          <w:szCs w:val="28"/>
          <w:highlight w:val="none"/>
        </w:rPr>
        <w:t>国家工商行政管理总局</w:t>
      </w:r>
    </w:p>
    <w:p w14:paraId="4B9B775C">
      <w:pPr>
        <w:snapToGrid w:val="0"/>
        <w:jc w:val="center"/>
        <w:rPr>
          <w:b/>
          <w:sz w:val="32"/>
          <w:szCs w:val="40"/>
          <w:highlight w:val="none"/>
        </w:rPr>
      </w:pPr>
      <w:bookmarkStart w:id="0" w:name="_Toc4139"/>
      <w:r>
        <w:rPr>
          <w:rFonts w:hint="eastAsia"/>
          <w:b/>
          <w:sz w:val="32"/>
          <w:szCs w:val="40"/>
          <w:highlight w:val="none"/>
        </w:rPr>
        <w:t>第一部分  协议书</w:t>
      </w:r>
      <w:bookmarkEnd w:id="0"/>
    </w:p>
    <w:p w14:paraId="07F555B5">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委托人（甲方）：</w:t>
      </w:r>
      <w:r>
        <w:rPr>
          <w:rFonts w:hint="eastAsia"/>
          <w:bCs/>
          <w:sz w:val="24"/>
          <w:highlight w:val="none"/>
          <w:u w:val="single"/>
        </w:rPr>
        <w:t xml:space="preserve">                      </w:t>
      </w:r>
    </w:p>
    <w:p w14:paraId="5570CDE2">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咨询人（乙方）：</w:t>
      </w:r>
      <w:r>
        <w:rPr>
          <w:rFonts w:hint="eastAsia"/>
          <w:bCs/>
          <w:sz w:val="24"/>
          <w:highlight w:val="none"/>
          <w:u w:val="single"/>
        </w:rPr>
        <w:t xml:space="preserve">                          </w:t>
      </w:r>
    </w:p>
    <w:p w14:paraId="19FB382B">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根据《中华人民共和国民法典》及其他有关法律、法规，遵循平等、自愿、公平和诚实信用的原则，双方就下述建设工程委托造价咨询、全过程结算审核以及其他服务事项协商一致，订立本合同。</w:t>
      </w:r>
    </w:p>
    <w:p w14:paraId="4EFB3B35">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1" w:name="_Toc717"/>
      <w:r>
        <w:rPr>
          <w:rFonts w:hint="eastAsia"/>
          <w:bCs/>
          <w:sz w:val="24"/>
          <w:highlight w:val="none"/>
        </w:rPr>
        <w:t>一、工程概况</w:t>
      </w:r>
      <w:bookmarkEnd w:id="1"/>
    </w:p>
    <w:p w14:paraId="3C1576D6">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1. 工程名称：</w:t>
      </w:r>
      <w:r>
        <w:rPr>
          <w:rFonts w:hint="eastAsia"/>
          <w:bCs/>
          <w:sz w:val="24"/>
          <w:highlight w:val="none"/>
          <w:u w:val="single"/>
        </w:rPr>
        <w:t xml:space="preserve">                                   </w:t>
      </w:r>
    </w:p>
    <w:p w14:paraId="134CF3B5">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2. 工程地点：</w:t>
      </w:r>
      <w:r>
        <w:rPr>
          <w:rFonts w:hint="eastAsia"/>
          <w:bCs/>
          <w:sz w:val="24"/>
          <w:highlight w:val="none"/>
          <w:u w:val="single"/>
        </w:rPr>
        <w:t xml:space="preserve">                                   </w:t>
      </w:r>
    </w:p>
    <w:p w14:paraId="3043C3D6">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3. 工程规模：</w:t>
      </w:r>
      <w:r>
        <w:rPr>
          <w:rFonts w:hint="eastAsia"/>
          <w:bCs/>
          <w:sz w:val="24"/>
          <w:highlight w:val="none"/>
          <w:u w:val="single"/>
        </w:rPr>
        <w:t xml:space="preserve">                                   </w:t>
      </w:r>
    </w:p>
    <w:p w14:paraId="41221E41">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4. 投资金额：</w:t>
      </w:r>
      <w:r>
        <w:rPr>
          <w:rFonts w:hint="eastAsia"/>
          <w:bCs/>
          <w:sz w:val="24"/>
          <w:highlight w:val="none"/>
          <w:u w:val="single"/>
        </w:rPr>
        <w:t xml:space="preserve">                                   </w:t>
      </w:r>
      <w:r>
        <w:rPr>
          <w:rFonts w:hint="eastAsia"/>
          <w:bCs/>
          <w:sz w:val="24"/>
          <w:highlight w:val="none"/>
        </w:rPr>
        <w:t xml:space="preserve"> </w:t>
      </w:r>
    </w:p>
    <w:p w14:paraId="0EDDECC9">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5. 建设工期或周期：</w:t>
      </w:r>
      <w:r>
        <w:rPr>
          <w:rFonts w:hint="eastAsia"/>
          <w:bCs/>
          <w:sz w:val="24"/>
          <w:highlight w:val="none"/>
          <w:u w:val="single"/>
        </w:rPr>
        <w:t xml:space="preserve">                              </w:t>
      </w:r>
      <w:r>
        <w:rPr>
          <w:rFonts w:hint="eastAsia"/>
          <w:bCs/>
          <w:sz w:val="24"/>
          <w:highlight w:val="none"/>
        </w:rPr>
        <w:t xml:space="preserve">   </w:t>
      </w:r>
    </w:p>
    <w:p w14:paraId="77559BC8">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2" w:name="_Toc32093"/>
      <w:r>
        <w:rPr>
          <w:rFonts w:hint="eastAsia"/>
          <w:bCs/>
          <w:sz w:val="24"/>
          <w:highlight w:val="none"/>
        </w:rPr>
        <w:t>二、服务范围及工作内容</w:t>
      </w:r>
      <w:bookmarkEnd w:id="2"/>
    </w:p>
    <w:p w14:paraId="559F2328">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双方约定的服务范围及内容：</w:t>
      </w:r>
      <w:r>
        <w:rPr>
          <w:rFonts w:hint="eastAsia"/>
          <w:bCs/>
          <w:sz w:val="24"/>
          <w:highlight w:val="none"/>
          <w:u w:val="single"/>
        </w:rPr>
        <w:t>项目全过程造价控制跟踪审计（包含但不限于项目前期、施工阶段、结算阶段提供造价咨询、结算审核等服务），具体内容如下：</w:t>
      </w:r>
    </w:p>
    <w:p w14:paraId="4AACEB96">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u w:val="single"/>
        </w:rPr>
      </w:pPr>
      <w:r>
        <w:rPr>
          <w:rFonts w:hint="eastAsia"/>
          <w:bCs/>
          <w:sz w:val="24"/>
          <w:highlight w:val="none"/>
          <w:u w:val="single"/>
        </w:rPr>
        <w:t>1、项目施工阶段：（1）检查与建设项目有关单位签订合同的履行情况；（2）确定工程造价控制目标，检查项目预算执行情况。按施工合同验工计价，建立工程量进度台账（含资金进度），编制资金使用计划；（3）参与工程材料、设备的认质认价和询价，核实现场实际使用的材料、设备是否按施工图预算规定进行购置，相应的市场采购价和施工图预算价是否一致，如不一致的则予以扣减。（4）严格审核委托人供应材料的供应量；（5）参与工程管理的有关会议（工程例会、施工图纸会审等），对会议纪要、业务联系单等进行审核；（6）负责对施工单位上报的工程进度款支付申请进行审核，并提供付款建议书，经业主认可后作为支付进度款的依据；（7）对设计中的工作内容派专业人员进行现场跟踪记录；（8）根据有关规定和委托人要求，确定变更或签证的合理性、时效性，并检查确定变更、签证资料是否齐全，对工程确需的变更、签证应及时进行现场勘查，如实做好记录，签署跟踪审计意见，进行造价审核并确定造价，调整相应造价控制目标，并向委托人提供造价控制的动态分析报告；（9）承发包双方提出索赔时，为委托人提供咨询意见。</w:t>
      </w:r>
    </w:p>
    <w:p w14:paraId="7BE0B3B4">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u w:val="single"/>
        </w:rPr>
        <w:t>2、项目结算阶段：（1）</w:t>
      </w:r>
      <w:r>
        <w:rPr>
          <w:rFonts w:hint="eastAsia"/>
          <w:bCs/>
          <w:sz w:val="24"/>
          <w:highlight w:val="none"/>
          <w:u w:val="single"/>
          <w:lang w:val="en-US" w:eastAsia="zh-CN"/>
        </w:rPr>
        <w:t>对施工阶段各项服务内容出具相应的咨询成果文件</w:t>
      </w:r>
      <w:r>
        <w:rPr>
          <w:rFonts w:hint="eastAsia"/>
          <w:bCs/>
          <w:sz w:val="24"/>
          <w:highlight w:val="none"/>
          <w:u w:val="single"/>
        </w:rPr>
        <w:t>，并配合审计部门完成复审、复查工作等；（2）项目完成后，提供整套结算意见及各项费用汇总表交委托人归档；（3）对造价控制性文件及时进行整理、分类并归档，在工程竣工后委托人规定的时间内移交所有资料。</w:t>
      </w:r>
    </w:p>
    <w:p w14:paraId="5406DC8E">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3" w:name="_Toc32249"/>
      <w:r>
        <w:rPr>
          <w:rFonts w:hint="eastAsia"/>
          <w:bCs/>
          <w:sz w:val="24"/>
          <w:highlight w:val="none"/>
        </w:rPr>
        <w:t>三、服务期限</w:t>
      </w:r>
      <w:bookmarkEnd w:id="3"/>
    </w:p>
    <w:p w14:paraId="1CA1CBE7">
      <w:pPr>
        <w:keepNext w:val="0"/>
        <w:keepLines/>
        <w:pageBreakBefore w:val="0"/>
        <w:widowControl w:val="0"/>
        <w:kinsoku/>
        <w:wordWrap/>
        <w:overflowPunct/>
        <w:topLinePunct w:val="0"/>
        <w:autoSpaceDE w:val="0"/>
        <w:autoSpaceDN w:val="0"/>
        <w:bidi w:val="0"/>
        <w:adjustRightInd/>
        <w:spacing w:line="360" w:lineRule="auto"/>
        <w:ind w:firstLine="480" w:firstLineChars="200"/>
        <w:textAlignment w:val="auto"/>
        <w:rPr>
          <w:bCs/>
          <w:sz w:val="24"/>
          <w:highlight w:val="none"/>
        </w:rPr>
      </w:pPr>
      <w:bookmarkStart w:id="4" w:name="_Toc13356"/>
      <w:r>
        <w:rPr>
          <w:rFonts w:hint="eastAsia"/>
          <w:sz w:val="24"/>
          <w:szCs w:val="24"/>
          <w:highlight w:val="none"/>
        </w:rPr>
        <w:t>签订咨询合同之日起至项目</w:t>
      </w:r>
      <w:r>
        <w:rPr>
          <w:rFonts w:hint="eastAsia"/>
          <w:sz w:val="24"/>
          <w:szCs w:val="24"/>
          <w:highlight w:val="none"/>
          <w:lang w:eastAsia="zh-CN"/>
        </w:rPr>
        <w:t>最终</w:t>
      </w:r>
      <w:r>
        <w:rPr>
          <w:rFonts w:hint="eastAsia"/>
          <w:sz w:val="24"/>
          <w:szCs w:val="24"/>
          <w:highlight w:val="none"/>
        </w:rPr>
        <w:t>结算审计工作结束。</w:t>
      </w:r>
    </w:p>
    <w:p w14:paraId="070FA9A1">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r>
        <w:rPr>
          <w:rFonts w:hint="eastAsia"/>
          <w:bCs/>
          <w:sz w:val="24"/>
          <w:highlight w:val="none"/>
        </w:rPr>
        <w:t>四、质量标准</w:t>
      </w:r>
      <w:bookmarkEnd w:id="4"/>
    </w:p>
    <w:p w14:paraId="7D8B3025">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u w:val="single"/>
        </w:rPr>
      </w:pPr>
      <w:r>
        <w:rPr>
          <w:rFonts w:hint="eastAsia"/>
          <w:bCs/>
          <w:sz w:val="24"/>
          <w:highlight w:val="none"/>
        </w:rPr>
        <w:t>工程造价咨询成果文件应符合：</w:t>
      </w:r>
      <w:r>
        <w:rPr>
          <w:rFonts w:hint="eastAsia"/>
          <w:bCs/>
          <w:sz w:val="24"/>
          <w:highlight w:val="none"/>
          <w:u w:val="single"/>
        </w:rPr>
        <w:t>遵循国家现行法规的情况下，满足专用条款和委托人及委托人的目标要求。</w:t>
      </w:r>
    </w:p>
    <w:p w14:paraId="37431327">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5" w:name="_Toc3758"/>
      <w:r>
        <w:rPr>
          <w:rFonts w:hint="eastAsia"/>
          <w:bCs/>
          <w:sz w:val="24"/>
          <w:highlight w:val="none"/>
        </w:rPr>
        <w:t>五、酬金计取方式</w:t>
      </w:r>
      <w:bookmarkEnd w:id="5"/>
    </w:p>
    <w:p w14:paraId="28F5620D">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bookmarkStart w:id="6" w:name="_Toc22603"/>
      <w:r>
        <w:rPr>
          <w:rFonts w:hint="eastAsia"/>
          <w:bCs/>
          <w:sz w:val="24"/>
          <w:highlight w:val="none"/>
        </w:rPr>
        <w:t>计取方式：</w:t>
      </w:r>
      <w:r>
        <w:rPr>
          <w:rFonts w:hint="eastAsia"/>
          <w:bCs/>
          <w:sz w:val="24"/>
          <w:highlight w:val="none"/>
          <w:u w:val="single"/>
          <w:lang w:val="en-US"/>
        </w:rPr>
        <w:t>按中标费率计算</w:t>
      </w:r>
      <w:r>
        <w:rPr>
          <w:rFonts w:hint="eastAsia"/>
          <w:bCs/>
          <w:sz w:val="24"/>
          <w:highlight w:val="none"/>
        </w:rPr>
        <w:t>。</w:t>
      </w:r>
    </w:p>
    <w:p w14:paraId="49D82D14">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r>
        <w:rPr>
          <w:rFonts w:hint="eastAsia"/>
          <w:bCs/>
          <w:sz w:val="24"/>
          <w:highlight w:val="none"/>
        </w:rPr>
        <w:t>六、合同文件的构成</w:t>
      </w:r>
      <w:bookmarkEnd w:id="6"/>
    </w:p>
    <w:p w14:paraId="7995E56E">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本协议书与下列文件一起构成合同文件:</w:t>
      </w:r>
    </w:p>
    <w:p w14:paraId="3D9D143F">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1. 中标通知书或委托书；</w:t>
      </w:r>
    </w:p>
    <w:p w14:paraId="246BEB42">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2. 投标函及投标函附录或造价咨询服务建议书；</w:t>
      </w:r>
    </w:p>
    <w:p w14:paraId="64E5942A">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3. 专用条件及附录；</w:t>
      </w:r>
    </w:p>
    <w:p w14:paraId="02206B5B">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4. 通用条件；</w:t>
      </w:r>
    </w:p>
    <w:p w14:paraId="359DB85A">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5. 其他合同文件。</w:t>
      </w:r>
    </w:p>
    <w:p w14:paraId="76BA6AF0">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上述各项合同文件包括合同当事人就该项合同文件所作出的补充和修改，属于同一类内容的文件，应以最新签署的为准。</w:t>
      </w:r>
    </w:p>
    <w:p w14:paraId="39D6809D">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在合同订立及履行过程中形成的与合同有关的文件（包括补充协议）均构成合同文件的组成部分。</w:t>
      </w:r>
    </w:p>
    <w:p w14:paraId="309BC150">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7" w:name="_Toc16056"/>
      <w:r>
        <w:rPr>
          <w:rFonts w:hint="eastAsia"/>
          <w:bCs/>
          <w:sz w:val="24"/>
          <w:highlight w:val="none"/>
        </w:rPr>
        <w:t>七、词语定义</w:t>
      </w:r>
      <w:bookmarkEnd w:id="7"/>
    </w:p>
    <w:p w14:paraId="71837D44">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协议书中相关词语的含义与通用条件中的定义与解释相同。</w:t>
      </w:r>
    </w:p>
    <w:p w14:paraId="0DAACD6F">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8" w:name="_Toc5525"/>
      <w:r>
        <w:rPr>
          <w:rFonts w:hint="eastAsia"/>
          <w:bCs/>
          <w:sz w:val="24"/>
          <w:highlight w:val="none"/>
        </w:rPr>
        <w:t>八、合同订立</w:t>
      </w:r>
      <w:bookmarkEnd w:id="8"/>
    </w:p>
    <w:p w14:paraId="2A117B63">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1. 订立时间：</w:t>
      </w:r>
      <w:r>
        <w:rPr>
          <w:rFonts w:hint="eastAsia"/>
          <w:bCs/>
          <w:sz w:val="24"/>
          <w:highlight w:val="none"/>
          <w:u w:val="single"/>
        </w:rPr>
        <w:t xml:space="preserve">        </w:t>
      </w:r>
      <w:r>
        <w:rPr>
          <w:rFonts w:hint="eastAsia"/>
          <w:bCs/>
          <w:sz w:val="24"/>
          <w:highlight w:val="none"/>
        </w:rPr>
        <w:t>年</w:t>
      </w:r>
      <w:r>
        <w:rPr>
          <w:rFonts w:hint="eastAsia"/>
          <w:bCs/>
          <w:sz w:val="24"/>
          <w:highlight w:val="none"/>
          <w:u w:val="single"/>
        </w:rPr>
        <w:t xml:space="preserve">        </w:t>
      </w:r>
      <w:r>
        <w:rPr>
          <w:rFonts w:hint="eastAsia"/>
          <w:bCs/>
          <w:sz w:val="24"/>
          <w:highlight w:val="none"/>
        </w:rPr>
        <w:t>月</w:t>
      </w:r>
      <w:r>
        <w:rPr>
          <w:rFonts w:hint="eastAsia"/>
          <w:bCs/>
          <w:sz w:val="24"/>
          <w:highlight w:val="none"/>
          <w:u w:val="single"/>
        </w:rPr>
        <w:t xml:space="preserve">        </w:t>
      </w:r>
      <w:r>
        <w:rPr>
          <w:rFonts w:hint="eastAsia"/>
          <w:bCs/>
          <w:sz w:val="24"/>
          <w:highlight w:val="none"/>
        </w:rPr>
        <w:t>日。</w:t>
      </w:r>
    </w:p>
    <w:p w14:paraId="4455FE2E">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2. 订立地点：</w:t>
      </w:r>
      <w:r>
        <w:rPr>
          <w:rFonts w:hint="eastAsia"/>
          <w:bCs/>
          <w:sz w:val="24"/>
          <w:highlight w:val="none"/>
          <w:u w:val="single"/>
        </w:rPr>
        <w:t xml:space="preserve">                              </w:t>
      </w:r>
      <w:r>
        <w:rPr>
          <w:rFonts w:hint="eastAsia"/>
          <w:bCs/>
          <w:sz w:val="24"/>
          <w:highlight w:val="none"/>
        </w:rPr>
        <w:t>。</w:t>
      </w:r>
    </w:p>
    <w:p w14:paraId="66E7079C">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9" w:name="_Toc14020"/>
      <w:r>
        <w:rPr>
          <w:rFonts w:hint="eastAsia"/>
          <w:bCs/>
          <w:sz w:val="24"/>
          <w:highlight w:val="none"/>
        </w:rPr>
        <w:t>九、合同生效</w:t>
      </w:r>
      <w:bookmarkEnd w:id="9"/>
    </w:p>
    <w:p w14:paraId="29B00578">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本合同自</w:t>
      </w:r>
      <w:r>
        <w:rPr>
          <w:rFonts w:hint="eastAsia"/>
          <w:bCs/>
          <w:sz w:val="24"/>
          <w:highlight w:val="none"/>
          <w:u w:val="single"/>
        </w:rPr>
        <w:t xml:space="preserve"> 双方签字盖章后 </w:t>
      </w:r>
      <w:r>
        <w:rPr>
          <w:rFonts w:hint="eastAsia"/>
          <w:bCs/>
          <w:sz w:val="24"/>
          <w:highlight w:val="none"/>
        </w:rPr>
        <w:t>生效。</w:t>
      </w:r>
    </w:p>
    <w:p w14:paraId="3327BF23">
      <w:pPr>
        <w:keepNext w:val="0"/>
        <w:keepLines/>
        <w:pageBreakBefore w:val="0"/>
        <w:widowControl w:val="0"/>
        <w:kinsoku/>
        <w:wordWrap/>
        <w:overflowPunct/>
        <w:topLinePunct w:val="0"/>
        <w:autoSpaceDE w:val="0"/>
        <w:autoSpaceDN w:val="0"/>
        <w:bidi w:val="0"/>
        <w:adjustRightInd/>
        <w:spacing w:line="360" w:lineRule="auto"/>
        <w:textAlignment w:val="auto"/>
        <w:rPr>
          <w:bCs/>
          <w:sz w:val="24"/>
          <w:highlight w:val="none"/>
        </w:rPr>
      </w:pPr>
      <w:bookmarkStart w:id="10" w:name="_Toc21845"/>
      <w:r>
        <w:rPr>
          <w:rFonts w:hint="eastAsia"/>
          <w:bCs/>
          <w:sz w:val="24"/>
          <w:highlight w:val="none"/>
        </w:rPr>
        <w:t>十、合同份数</w:t>
      </w:r>
      <w:bookmarkEnd w:id="10"/>
    </w:p>
    <w:p w14:paraId="53C62A24">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bCs/>
          <w:sz w:val="24"/>
          <w:highlight w:val="none"/>
        </w:rPr>
      </w:pPr>
      <w:r>
        <w:rPr>
          <w:rFonts w:hint="eastAsia"/>
          <w:bCs/>
          <w:sz w:val="24"/>
          <w:highlight w:val="none"/>
        </w:rPr>
        <w:t>本合同一式</w:t>
      </w:r>
      <w:r>
        <w:rPr>
          <w:rFonts w:hint="eastAsia"/>
          <w:bCs/>
          <w:sz w:val="24"/>
          <w:highlight w:val="none"/>
          <w:u w:val="single"/>
        </w:rPr>
        <w:t xml:space="preserve">  </w:t>
      </w:r>
      <w:r>
        <w:rPr>
          <w:rFonts w:hint="eastAsia"/>
          <w:bCs/>
          <w:sz w:val="24"/>
          <w:highlight w:val="none"/>
        </w:rPr>
        <w:t>份，具有同等法律效力，其中委托人执</w:t>
      </w:r>
      <w:r>
        <w:rPr>
          <w:rFonts w:hint="eastAsia"/>
          <w:bCs/>
          <w:sz w:val="24"/>
          <w:highlight w:val="none"/>
          <w:u w:val="single"/>
        </w:rPr>
        <w:t xml:space="preserve">  </w:t>
      </w:r>
      <w:r>
        <w:rPr>
          <w:rFonts w:hint="eastAsia"/>
          <w:bCs/>
          <w:sz w:val="24"/>
          <w:highlight w:val="none"/>
        </w:rPr>
        <w:t>份，咨询人执</w:t>
      </w:r>
      <w:r>
        <w:rPr>
          <w:rFonts w:hint="eastAsia"/>
          <w:bCs/>
          <w:sz w:val="24"/>
          <w:highlight w:val="none"/>
          <w:u w:val="single"/>
        </w:rPr>
        <w:t xml:space="preserve">      </w:t>
      </w:r>
      <w:r>
        <w:rPr>
          <w:rFonts w:hint="eastAsia"/>
          <w:bCs/>
          <w:sz w:val="24"/>
          <w:highlight w:val="none"/>
        </w:rPr>
        <w:t>份</w:t>
      </w:r>
    </w:p>
    <w:p w14:paraId="2D7DA786">
      <w:pPr>
        <w:pStyle w:val="7"/>
        <w:rPr>
          <w:rFonts w:hint="eastAsia"/>
          <w:bCs/>
          <w:sz w:val="24"/>
          <w:highlight w:val="none"/>
        </w:rPr>
      </w:pPr>
    </w:p>
    <w:p w14:paraId="0244FD12">
      <w:pPr>
        <w:pStyle w:val="4"/>
        <w:ind w:left="0" w:leftChars="0" w:firstLine="0" w:firstLineChars="0"/>
        <w:rPr>
          <w:rFonts w:hint="eastAsia"/>
          <w:bCs/>
          <w:sz w:val="24"/>
          <w:highlight w:val="none"/>
        </w:rPr>
      </w:pPr>
    </w:p>
    <w:p w14:paraId="72A5609B">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bCs/>
          <w:sz w:val="24"/>
          <w:highlight w:val="none"/>
        </w:rPr>
      </w:pPr>
      <w:r>
        <w:rPr>
          <w:rFonts w:hint="eastAsia"/>
          <w:bCs/>
          <w:sz w:val="24"/>
          <w:highlight w:val="none"/>
        </w:rPr>
        <w:t>委 托 人：</w:t>
      </w:r>
      <w:r>
        <w:rPr>
          <w:rFonts w:hint="eastAsia"/>
          <w:bCs/>
          <w:sz w:val="24"/>
          <w:highlight w:val="none"/>
          <w:u w:val="single"/>
        </w:rPr>
        <w:t xml:space="preserve">           </w:t>
      </w:r>
      <w:r>
        <w:rPr>
          <w:rFonts w:hint="eastAsia"/>
          <w:bCs/>
          <w:sz w:val="24"/>
          <w:highlight w:val="none"/>
        </w:rPr>
        <w:t>（盖章）       咨 询 人：</w:t>
      </w:r>
      <w:r>
        <w:rPr>
          <w:rFonts w:hint="eastAsia"/>
          <w:bCs/>
          <w:sz w:val="24"/>
          <w:highlight w:val="none"/>
          <w:u w:val="single"/>
        </w:rPr>
        <w:t xml:space="preserve">           </w:t>
      </w:r>
      <w:r>
        <w:rPr>
          <w:rFonts w:hint="eastAsia"/>
          <w:bCs/>
          <w:sz w:val="24"/>
          <w:highlight w:val="none"/>
        </w:rPr>
        <w:t>（盖章）</w:t>
      </w:r>
    </w:p>
    <w:p w14:paraId="2F5C4FD5">
      <w:pPr>
        <w:pStyle w:val="4"/>
        <w:ind w:left="0" w:leftChars="0" w:firstLine="0" w:firstLineChars="0"/>
        <w:rPr>
          <w:highlight w:val="none"/>
        </w:rPr>
      </w:pPr>
    </w:p>
    <w:p w14:paraId="344BBEA1">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bCs/>
          <w:sz w:val="24"/>
          <w:highlight w:val="none"/>
        </w:rPr>
      </w:pPr>
      <w:r>
        <w:rPr>
          <w:rFonts w:hint="eastAsia"/>
          <w:bCs/>
          <w:sz w:val="24"/>
          <w:highlight w:val="none"/>
        </w:rPr>
        <w:t>法定代表人或其授权的                法定代表人或其授权的</w:t>
      </w:r>
    </w:p>
    <w:p w14:paraId="6D6DA540">
      <w:pPr>
        <w:keepNext w:val="0"/>
        <w:keepLines/>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bCs/>
          <w:sz w:val="24"/>
          <w:highlight w:val="none"/>
        </w:rPr>
      </w:pPr>
      <w:r>
        <w:rPr>
          <w:rFonts w:hint="eastAsia"/>
          <w:bCs/>
          <w:sz w:val="24"/>
          <w:highlight w:val="none"/>
        </w:rPr>
        <w:t>代 理 人：</w:t>
      </w:r>
      <w:r>
        <w:rPr>
          <w:rFonts w:hint="eastAsia"/>
          <w:bCs/>
          <w:sz w:val="24"/>
          <w:highlight w:val="none"/>
          <w:u w:val="single"/>
        </w:rPr>
        <w:t xml:space="preserve">             </w:t>
      </w:r>
      <w:r>
        <w:rPr>
          <w:rFonts w:hint="eastAsia"/>
          <w:bCs/>
          <w:sz w:val="24"/>
          <w:highlight w:val="none"/>
        </w:rPr>
        <w:t>（签字）      代 理 人：</w:t>
      </w:r>
      <w:r>
        <w:rPr>
          <w:rFonts w:hint="eastAsia"/>
          <w:bCs/>
          <w:sz w:val="24"/>
          <w:highlight w:val="none"/>
          <w:u w:val="single"/>
        </w:rPr>
        <w:t xml:space="preserve">             </w:t>
      </w:r>
      <w:r>
        <w:rPr>
          <w:rFonts w:hint="eastAsia"/>
          <w:bCs/>
          <w:sz w:val="24"/>
          <w:highlight w:val="none"/>
        </w:rPr>
        <w:t>（签字）</w:t>
      </w:r>
    </w:p>
    <w:p w14:paraId="7EA1939E">
      <w:pPr>
        <w:pStyle w:val="7"/>
        <w:rPr>
          <w:rFonts w:hint="eastAsia"/>
          <w:bCs/>
          <w:sz w:val="24"/>
          <w:highlight w:val="none"/>
        </w:rPr>
      </w:pPr>
    </w:p>
    <w:p w14:paraId="742CD987">
      <w:pPr>
        <w:pStyle w:val="4"/>
        <w:rPr>
          <w:highlight w:val="none"/>
        </w:rPr>
      </w:pPr>
    </w:p>
    <w:p w14:paraId="363766D5">
      <w:pPr>
        <w:pStyle w:val="4"/>
        <w:rPr>
          <w:highlight w:val="none"/>
        </w:rPr>
      </w:pPr>
    </w:p>
    <w:p w14:paraId="72C35733">
      <w:pPr>
        <w:pStyle w:val="4"/>
        <w:rPr>
          <w:highlight w:val="none"/>
        </w:rPr>
      </w:pPr>
    </w:p>
    <w:p w14:paraId="75EE718D">
      <w:pPr>
        <w:pStyle w:val="4"/>
        <w:rPr>
          <w:highlight w:val="none"/>
        </w:rPr>
      </w:pPr>
    </w:p>
    <w:p w14:paraId="082412FC">
      <w:pPr>
        <w:pStyle w:val="4"/>
        <w:rPr>
          <w:highlight w:val="none"/>
        </w:rPr>
      </w:pPr>
    </w:p>
    <w:p w14:paraId="1040DEAA">
      <w:pPr>
        <w:pStyle w:val="4"/>
        <w:rPr>
          <w:highlight w:val="none"/>
        </w:rPr>
      </w:pPr>
    </w:p>
    <w:p w14:paraId="5093D7AC">
      <w:pPr>
        <w:pStyle w:val="4"/>
        <w:rPr>
          <w:highlight w:val="none"/>
        </w:rPr>
      </w:pPr>
    </w:p>
    <w:p w14:paraId="051C5088">
      <w:pPr>
        <w:pStyle w:val="4"/>
        <w:rPr>
          <w:highlight w:val="none"/>
        </w:rPr>
      </w:pPr>
    </w:p>
    <w:p w14:paraId="19DCDC76">
      <w:pPr>
        <w:pStyle w:val="4"/>
        <w:rPr>
          <w:highlight w:val="none"/>
        </w:rPr>
      </w:pPr>
    </w:p>
    <w:p w14:paraId="2E3D12B2">
      <w:pPr>
        <w:pStyle w:val="4"/>
        <w:rPr>
          <w:highlight w:val="none"/>
        </w:rPr>
      </w:pPr>
    </w:p>
    <w:p w14:paraId="6A368446">
      <w:pPr>
        <w:pStyle w:val="4"/>
        <w:rPr>
          <w:highlight w:val="none"/>
        </w:rPr>
      </w:pPr>
    </w:p>
    <w:p w14:paraId="1DD28980">
      <w:pPr>
        <w:pStyle w:val="4"/>
        <w:rPr>
          <w:highlight w:val="none"/>
        </w:rPr>
      </w:pPr>
    </w:p>
    <w:p w14:paraId="28DF5D5A">
      <w:pPr>
        <w:pStyle w:val="4"/>
        <w:rPr>
          <w:highlight w:val="none"/>
        </w:rPr>
      </w:pPr>
    </w:p>
    <w:p w14:paraId="39E59465">
      <w:pPr>
        <w:pStyle w:val="4"/>
        <w:rPr>
          <w:highlight w:val="none"/>
        </w:rPr>
      </w:pPr>
    </w:p>
    <w:p w14:paraId="6A41EF57">
      <w:pPr>
        <w:pStyle w:val="4"/>
        <w:rPr>
          <w:highlight w:val="none"/>
        </w:rPr>
      </w:pPr>
    </w:p>
    <w:p w14:paraId="00AC9C9B">
      <w:pPr>
        <w:pStyle w:val="4"/>
        <w:rPr>
          <w:highlight w:val="none"/>
        </w:rPr>
      </w:pPr>
    </w:p>
    <w:p w14:paraId="70C80251">
      <w:pPr>
        <w:pStyle w:val="4"/>
        <w:rPr>
          <w:highlight w:val="none"/>
        </w:rPr>
      </w:pPr>
    </w:p>
    <w:p w14:paraId="49209B74">
      <w:pPr>
        <w:pStyle w:val="4"/>
        <w:rPr>
          <w:highlight w:val="none"/>
        </w:rPr>
      </w:pPr>
    </w:p>
    <w:p w14:paraId="64FEC38B">
      <w:pPr>
        <w:pStyle w:val="4"/>
        <w:rPr>
          <w:highlight w:val="none"/>
        </w:rPr>
      </w:pPr>
    </w:p>
    <w:p w14:paraId="2E79EE33">
      <w:pPr>
        <w:pStyle w:val="4"/>
        <w:rPr>
          <w:highlight w:val="none"/>
        </w:rPr>
      </w:pPr>
    </w:p>
    <w:p w14:paraId="113291A7">
      <w:pPr>
        <w:pStyle w:val="11"/>
        <w:rPr>
          <w:highlight w:val="none"/>
        </w:rPr>
      </w:pPr>
      <w:bookmarkStart w:id="11" w:name="_Toc24433"/>
    </w:p>
    <w:p w14:paraId="0A4CF025">
      <w:pPr>
        <w:pStyle w:val="11"/>
        <w:rPr>
          <w:highlight w:val="none"/>
        </w:rPr>
      </w:pPr>
    </w:p>
    <w:p w14:paraId="3964DB1F">
      <w:pPr>
        <w:spacing w:line="360" w:lineRule="auto"/>
        <w:ind w:firstLine="643" w:firstLineChars="200"/>
        <w:jc w:val="center"/>
        <w:rPr>
          <w:b/>
          <w:sz w:val="32"/>
          <w:szCs w:val="32"/>
          <w:highlight w:val="none"/>
        </w:rPr>
      </w:pPr>
      <w:r>
        <w:rPr>
          <w:rFonts w:hint="eastAsia"/>
          <w:b/>
          <w:sz w:val="32"/>
          <w:szCs w:val="32"/>
          <w:highlight w:val="none"/>
        </w:rPr>
        <w:t>第二部分 通用条件</w:t>
      </w:r>
    </w:p>
    <w:p w14:paraId="77025200">
      <w:pPr>
        <w:spacing w:line="360" w:lineRule="auto"/>
        <w:ind w:firstLine="480" w:firstLineChars="200"/>
        <w:rPr>
          <w:bCs/>
          <w:sz w:val="24"/>
          <w:highlight w:val="none"/>
        </w:rPr>
      </w:pPr>
      <w:r>
        <w:rPr>
          <w:rFonts w:hint="eastAsia"/>
          <w:bCs/>
          <w:sz w:val="24"/>
          <w:highlight w:val="none"/>
        </w:rPr>
        <w:t>合同条件采用住房和城乡建设部与国家工商行政管理总局颁发的 《建设工程造价咨询合同》示范文本（GF-2015-0212）的“通用条件”，作为本合同协议书的组成部分。</w:t>
      </w:r>
    </w:p>
    <w:p w14:paraId="0D927BAB">
      <w:pPr>
        <w:pStyle w:val="5"/>
        <w:spacing w:line="360" w:lineRule="auto"/>
        <w:rPr>
          <w:rFonts w:hAnsi="宋体"/>
          <w:bCs/>
          <w:highlight w:val="none"/>
        </w:rPr>
      </w:pPr>
    </w:p>
    <w:p w14:paraId="6F010F68">
      <w:pPr>
        <w:pStyle w:val="5"/>
        <w:spacing w:line="360" w:lineRule="auto"/>
        <w:rPr>
          <w:rFonts w:hAnsi="宋体"/>
          <w:bCs/>
          <w:highlight w:val="none"/>
        </w:rPr>
      </w:pPr>
    </w:p>
    <w:p w14:paraId="3473B906">
      <w:pPr>
        <w:pStyle w:val="5"/>
        <w:spacing w:line="360" w:lineRule="auto"/>
        <w:rPr>
          <w:rFonts w:hAnsi="宋体"/>
          <w:bCs/>
          <w:highlight w:val="none"/>
        </w:rPr>
      </w:pPr>
    </w:p>
    <w:p w14:paraId="53526F7E">
      <w:pPr>
        <w:pStyle w:val="5"/>
        <w:spacing w:line="360" w:lineRule="auto"/>
        <w:rPr>
          <w:rFonts w:hAnsi="宋体"/>
          <w:bCs/>
          <w:highlight w:val="none"/>
        </w:rPr>
      </w:pPr>
    </w:p>
    <w:p w14:paraId="197D9BDA">
      <w:pPr>
        <w:pStyle w:val="5"/>
        <w:spacing w:line="360" w:lineRule="auto"/>
        <w:rPr>
          <w:rFonts w:hAnsi="宋体"/>
          <w:bCs/>
          <w:highlight w:val="none"/>
        </w:rPr>
      </w:pPr>
    </w:p>
    <w:p w14:paraId="3B77B6B1">
      <w:pPr>
        <w:pStyle w:val="5"/>
        <w:spacing w:line="360" w:lineRule="auto"/>
        <w:rPr>
          <w:rFonts w:hAnsi="宋体"/>
          <w:bCs/>
          <w:highlight w:val="none"/>
        </w:rPr>
      </w:pPr>
    </w:p>
    <w:p w14:paraId="70783397">
      <w:pPr>
        <w:pStyle w:val="5"/>
        <w:spacing w:line="360" w:lineRule="auto"/>
        <w:rPr>
          <w:rFonts w:hAnsi="宋体"/>
          <w:bCs/>
          <w:highlight w:val="none"/>
        </w:rPr>
      </w:pPr>
    </w:p>
    <w:p w14:paraId="671ED8FE">
      <w:pPr>
        <w:pStyle w:val="5"/>
        <w:spacing w:line="360" w:lineRule="auto"/>
        <w:rPr>
          <w:rFonts w:hAnsi="宋体"/>
          <w:bCs/>
          <w:highlight w:val="none"/>
        </w:rPr>
      </w:pPr>
    </w:p>
    <w:p w14:paraId="48651E6A">
      <w:pPr>
        <w:pStyle w:val="5"/>
        <w:spacing w:line="360" w:lineRule="auto"/>
        <w:rPr>
          <w:rFonts w:hAnsi="宋体"/>
          <w:bCs/>
          <w:highlight w:val="none"/>
        </w:rPr>
      </w:pPr>
    </w:p>
    <w:p w14:paraId="50CC50E3">
      <w:pPr>
        <w:pStyle w:val="5"/>
        <w:spacing w:line="360" w:lineRule="auto"/>
        <w:rPr>
          <w:rFonts w:hAnsi="宋体"/>
          <w:bCs/>
          <w:highlight w:val="none"/>
        </w:rPr>
      </w:pPr>
    </w:p>
    <w:p w14:paraId="3F1F98AF">
      <w:pPr>
        <w:pStyle w:val="5"/>
        <w:spacing w:line="360" w:lineRule="auto"/>
        <w:rPr>
          <w:rFonts w:hAnsi="宋体"/>
          <w:bCs/>
          <w:highlight w:val="none"/>
        </w:rPr>
      </w:pPr>
    </w:p>
    <w:p w14:paraId="3FF01E53">
      <w:pPr>
        <w:pStyle w:val="5"/>
        <w:spacing w:line="360" w:lineRule="auto"/>
        <w:rPr>
          <w:rFonts w:hAnsi="宋体"/>
          <w:bCs/>
          <w:highlight w:val="none"/>
        </w:rPr>
      </w:pPr>
    </w:p>
    <w:p w14:paraId="0D8F9137">
      <w:pPr>
        <w:pStyle w:val="5"/>
        <w:spacing w:line="360" w:lineRule="auto"/>
        <w:rPr>
          <w:rFonts w:hAnsi="宋体"/>
          <w:bCs/>
          <w:highlight w:val="none"/>
        </w:rPr>
      </w:pPr>
    </w:p>
    <w:p w14:paraId="3D0398B7">
      <w:pPr>
        <w:pStyle w:val="5"/>
        <w:spacing w:line="360" w:lineRule="auto"/>
        <w:rPr>
          <w:rFonts w:hAnsi="宋体"/>
          <w:bCs/>
          <w:highlight w:val="none"/>
        </w:rPr>
      </w:pPr>
    </w:p>
    <w:p w14:paraId="43ABF793">
      <w:pPr>
        <w:pStyle w:val="5"/>
        <w:spacing w:line="360" w:lineRule="auto"/>
        <w:rPr>
          <w:rFonts w:hAnsi="宋体"/>
          <w:bCs/>
          <w:highlight w:val="none"/>
        </w:rPr>
      </w:pPr>
    </w:p>
    <w:p w14:paraId="7C8C32F4">
      <w:pPr>
        <w:pStyle w:val="5"/>
        <w:spacing w:line="360" w:lineRule="auto"/>
        <w:rPr>
          <w:rFonts w:hAnsi="宋体"/>
          <w:bCs/>
          <w:highlight w:val="none"/>
        </w:rPr>
      </w:pPr>
    </w:p>
    <w:p w14:paraId="46BD260A">
      <w:pPr>
        <w:pStyle w:val="5"/>
        <w:spacing w:line="360" w:lineRule="auto"/>
        <w:rPr>
          <w:rFonts w:hAnsi="宋体"/>
          <w:bCs/>
          <w:highlight w:val="none"/>
        </w:rPr>
      </w:pPr>
    </w:p>
    <w:p w14:paraId="0396FB97">
      <w:pPr>
        <w:pStyle w:val="5"/>
        <w:spacing w:line="360" w:lineRule="auto"/>
        <w:rPr>
          <w:rFonts w:hAnsi="宋体"/>
          <w:bCs/>
          <w:highlight w:val="none"/>
        </w:rPr>
      </w:pPr>
    </w:p>
    <w:p w14:paraId="7AF031D9">
      <w:pPr>
        <w:pStyle w:val="5"/>
        <w:spacing w:line="360" w:lineRule="auto"/>
        <w:rPr>
          <w:rFonts w:hAnsi="宋体"/>
          <w:bCs/>
          <w:highlight w:val="none"/>
        </w:rPr>
      </w:pPr>
    </w:p>
    <w:p w14:paraId="20BE16CD">
      <w:pPr>
        <w:pStyle w:val="5"/>
        <w:spacing w:line="360" w:lineRule="auto"/>
        <w:rPr>
          <w:rFonts w:hAnsi="宋体"/>
          <w:bCs/>
          <w:highlight w:val="none"/>
        </w:rPr>
      </w:pPr>
    </w:p>
    <w:p w14:paraId="5459F739">
      <w:pPr>
        <w:pStyle w:val="5"/>
        <w:spacing w:line="360" w:lineRule="auto"/>
        <w:rPr>
          <w:rFonts w:hAnsi="宋体"/>
          <w:bCs/>
          <w:highlight w:val="none"/>
        </w:rPr>
      </w:pPr>
    </w:p>
    <w:p w14:paraId="55B3EBEB">
      <w:pPr>
        <w:pStyle w:val="5"/>
        <w:spacing w:line="360" w:lineRule="auto"/>
        <w:rPr>
          <w:rFonts w:hAnsi="宋体"/>
          <w:bCs/>
          <w:highlight w:val="none"/>
        </w:rPr>
      </w:pPr>
    </w:p>
    <w:p w14:paraId="3F97A25D">
      <w:pPr>
        <w:pStyle w:val="5"/>
        <w:spacing w:line="360" w:lineRule="auto"/>
        <w:rPr>
          <w:rFonts w:hAnsi="宋体"/>
          <w:bCs/>
          <w:highlight w:val="none"/>
        </w:rPr>
      </w:pPr>
    </w:p>
    <w:p w14:paraId="30D9E6C0">
      <w:pPr>
        <w:pStyle w:val="5"/>
        <w:spacing w:line="360" w:lineRule="auto"/>
        <w:rPr>
          <w:rFonts w:hAnsi="宋体"/>
          <w:bCs/>
          <w:highlight w:val="none"/>
        </w:rPr>
      </w:pPr>
    </w:p>
    <w:p w14:paraId="7B42421B">
      <w:pPr>
        <w:pStyle w:val="5"/>
        <w:spacing w:line="360" w:lineRule="auto"/>
        <w:rPr>
          <w:rFonts w:hAnsi="宋体"/>
          <w:bCs/>
          <w:highlight w:val="none"/>
        </w:rPr>
      </w:pPr>
    </w:p>
    <w:p w14:paraId="2EB19F2A">
      <w:pPr>
        <w:pStyle w:val="5"/>
        <w:spacing w:line="360" w:lineRule="auto"/>
        <w:rPr>
          <w:rFonts w:hAnsi="宋体"/>
          <w:bCs/>
          <w:highlight w:val="none"/>
        </w:rPr>
      </w:pPr>
    </w:p>
    <w:p w14:paraId="750CFB4B">
      <w:pPr>
        <w:pStyle w:val="5"/>
        <w:spacing w:line="360" w:lineRule="auto"/>
        <w:rPr>
          <w:rFonts w:hAnsi="宋体"/>
          <w:bCs/>
          <w:highlight w:val="none"/>
        </w:rPr>
      </w:pPr>
    </w:p>
    <w:p w14:paraId="0F340A8A">
      <w:pPr>
        <w:pStyle w:val="5"/>
        <w:spacing w:line="360" w:lineRule="auto"/>
        <w:rPr>
          <w:rFonts w:hAnsi="宋体"/>
          <w:bCs/>
          <w:highlight w:val="none"/>
        </w:rPr>
      </w:pPr>
    </w:p>
    <w:p w14:paraId="045CEEB7">
      <w:pPr>
        <w:pStyle w:val="5"/>
        <w:spacing w:line="360" w:lineRule="auto"/>
        <w:rPr>
          <w:rFonts w:hAnsi="宋体"/>
          <w:bCs/>
          <w:highlight w:val="none"/>
        </w:rPr>
      </w:pPr>
    </w:p>
    <w:p w14:paraId="135DAF5E">
      <w:pPr>
        <w:spacing w:line="360" w:lineRule="auto"/>
        <w:ind w:firstLine="643" w:firstLineChars="200"/>
        <w:jc w:val="center"/>
        <w:rPr>
          <w:b/>
          <w:sz w:val="32"/>
          <w:szCs w:val="32"/>
          <w:highlight w:val="none"/>
        </w:rPr>
      </w:pPr>
      <w:r>
        <w:rPr>
          <w:rFonts w:hint="eastAsia"/>
          <w:b/>
          <w:sz w:val="32"/>
          <w:szCs w:val="32"/>
          <w:highlight w:val="none"/>
        </w:rPr>
        <w:t>第三部分  专用条件</w:t>
      </w:r>
      <w:bookmarkEnd w:id="11"/>
    </w:p>
    <w:p w14:paraId="7DC343EC">
      <w:pPr>
        <w:spacing w:line="360" w:lineRule="auto"/>
        <w:rPr>
          <w:bCs/>
          <w:sz w:val="24"/>
          <w:highlight w:val="none"/>
        </w:rPr>
      </w:pPr>
      <w:bookmarkStart w:id="12" w:name="_Toc16513"/>
      <w:r>
        <w:rPr>
          <w:rFonts w:hint="eastAsia"/>
          <w:bCs/>
          <w:sz w:val="24"/>
          <w:highlight w:val="none"/>
        </w:rPr>
        <w:t>1. 词语定义、语言、解释顺序与适用法律</w:t>
      </w:r>
      <w:bookmarkEnd w:id="12"/>
    </w:p>
    <w:p w14:paraId="11CAB05E">
      <w:pPr>
        <w:spacing w:line="360" w:lineRule="auto"/>
        <w:rPr>
          <w:bCs/>
          <w:sz w:val="24"/>
          <w:highlight w:val="none"/>
        </w:rPr>
      </w:pPr>
      <w:bookmarkStart w:id="13" w:name="_Toc30331"/>
      <w:r>
        <w:rPr>
          <w:rFonts w:hint="eastAsia"/>
          <w:bCs/>
          <w:sz w:val="24"/>
          <w:highlight w:val="none"/>
        </w:rPr>
        <w:t>1.2 语言</w:t>
      </w:r>
      <w:bookmarkEnd w:id="13"/>
    </w:p>
    <w:p w14:paraId="3CDAFC4A">
      <w:pPr>
        <w:snapToGrid w:val="0"/>
        <w:spacing w:line="360" w:lineRule="auto"/>
        <w:ind w:firstLine="480" w:firstLineChars="200"/>
        <w:rPr>
          <w:bCs/>
          <w:sz w:val="24"/>
          <w:highlight w:val="none"/>
        </w:rPr>
      </w:pPr>
      <w:r>
        <w:rPr>
          <w:rFonts w:hint="eastAsia"/>
          <w:bCs/>
          <w:sz w:val="24"/>
          <w:highlight w:val="none"/>
        </w:rPr>
        <w:t>本合同文件除使用中文外，还可用</w:t>
      </w:r>
      <w:r>
        <w:rPr>
          <w:rFonts w:hint="eastAsia"/>
          <w:bCs/>
          <w:sz w:val="24"/>
          <w:highlight w:val="none"/>
          <w:u w:val="single"/>
        </w:rPr>
        <w:t xml:space="preserve"> / </w:t>
      </w:r>
      <w:r>
        <w:rPr>
          <w:rFonts w:hint="eastAsia"/>
          <w:bCs/>
          <w:sz w:val="24"/>
          <w:highlight w:val="none"/>
        </w:rPr>
        <w:t>。</w:t>
      </w:r>
    </w:p>
    <w:p w14:paraId="61EB8337">
      <w:pPr>
        <w:spacing w:line="360" w:lineRule="auto"/>
        <w:rPr>
          <w:bCs/>
          <w:sz w:val="24"/>
          <w:highlight w:val="none"/>
        </w:rPr>
      </w:pPr>
      <w:bookmarkStart w:id="14" w:name="_Toc7550"/>
      <w:r>
        <w:rPr>
          <w:rFonts w:hint="eastAsia"/>
          <w:bCs/>
          <w:sz w:val="24"/>
          <w:highlight w:val="none"/>
        </w:rPr>
        <w:t>1.3 合同文件的优先顺序</w:t>
      </w:r>
      <w:bookmarkEnd w:id="14"/>
    </w:p>
    <w:p w14:paraId="2B87D2CD">
      <w:pPr>
        <w:snapToGrid w:val="0"/>
        <w:spacing w:line="360" w:lineRule="auto"/>
        <w:ind w:firstLine="480" w:firstLineChars="200"/>
        <w:rPr>
          <w:bCs/>
          <w:sz w:val="24"/>
          <w:highlight w:val="none"/>
        </w:rPr>
      </w:pPr>
      <w:r>
        <w:rPr>
          <w:rFonts w:hint="eastAsia"/>
          <w:bCs/>
          <w:sz w:val="24"/>
          <w:highlight w:val="none"/>
        </w:rPr>
        <w:t>本合同文件的解释顺序为：</w:t>
      </w:r>
    </w:p>
    <w:p w14:paraId="109B3D94">
      <w:pPr>
        <w:spacing w:line="360" w:lineRule="auto"/>
        <w:ind w:firstLine="480" w:firstLineChars="200"/>
        <w:rPr>
          <w:bCs/>
          <w:sz w:val="24"/>
          <w:highlight w:val="none"/>
        </w:rPr>
      </w:pPr>
      <w:bookmarkStart w:id="15" w:name="_Toc4177"/>
      <w:r>
        <w:rPr>
          <w:rFonts w:hint="eastAsia"/>
          <w:bCs/>
          <w:sz w:val="24"/>
          <w:highlight w:val="none"/>
        </w:rPr>
        <w:t>1.建设工程造价咨询协议书</w:t>
      </w:r>
    </w:p>
    <w:p w14:paraId="43B13FA2">
      <w:pPr>
        <w:spacing w:line="360" w:lineRule="auto"/>
        <w:ind w:firstLine="480" w:firstLineChars="200"/>
        <w:rPr>
          <w:bCs/>
          <w:sz w:val="24"/>
          <w:highlight w:val="none"/>
        </w:rPr>
      </w:pPr>
      <w:r>
        <w:rPr>
          <w:rFonts w:hint="eastAsia"/>
          <w:bCs/>
          <w:sz w:val="24"/>
          <w:highlight w:val="none"/>
        </w:rPr>
        <w:t>2.建设工程造价咨询合同专用条款</w:t>
      </w:r>
    </w:p>
    <w:p w14:paraId="6B1108B6">
      <w:pPr>
        <w:spacing w:line="360" w:lineRule="auto"/>
        <w:ind w:firstLine="480" w:firstLineChars="200"/>
        <w:rPr>
          <w:bCs/>
          <w:sz w:val="24"/>
          <w:highlight w:val="none"/>
        </w:rPr>
      </w:pPr>
      <w:r>
        <w:rPr>
          <w:rFonts w:hint="eastAsia"/>
          <w:bCs/>
          <w:sz w:val="24"/>
          <w:highlight w:val="none"/>
        </w:rPr>
        <w:t>3.建设工程造价咨询合同通用条款；</w:t>
      </w:r>
    </w:p>
    <w:p w14:paraId="3D8ABCF2">
      <w:pPr>
        <w:spacing w:line="360" w:lineRule="auto"/>
        <w:ind w:firstLine="480" w:firstLineChars="200"/>
        <w:rPr>
          <w:bCs/>
          <w:sz w:val="24"/>
          <w:highlight w:val="none"/>
        </w:rPr>
      </w:pPr>
      <w:r>
        <w:rPr>
          <w:rFonts w:hint="eastAsia"/>
          <w:bCs/>
          <w:sz w:val="24"/>
          <w:highlight w:val="none"/>
        </w:rPr>
        <w:t>4.建设工程造价咨询合同履行中共同签署的补充与修正文件</w:t>
      </w:r>
    </w:p>
    <w:p w14:paraId="32AF14B8">
      <w:pPr>
        <w:spacing w:line="360" w:lineRule="auto"/>
        <w:ind w:firstLine="480" w:firstLineChars="200"/>
        <w:rPr>
          <w:bCs/>
          <w:sz w:val="24"/>
          <w:highlight w:val="none"/>
        </w:rPr>
      </w:pPr>
      <w:r>
        <w:rPr>
          <w:rFonts w:hint="eastAsia"/>
          <w:bCs/>
          <w:sz w:val="24"/>
          <w:highlight w:val="none"/>
        </w:rPr>
        <w:t>5.招标文件</w:t>
      </w:r>
    </w:p>
    <w:p w14:paraId="54BCF488">
      <w:pPr>
        <w:spacing w:line="360" w:lineRule="auto"/>
        <w:ind w:firstLine="480" w:firstLineChars="200"/>
        <w:rPr>
          <w:bCs/>
          <w:sz w:val="24"/>
          <w:highlight w:val="none"/>
        </w:rPr>
      </w:pPr>
      <w:r>
        <w:rPr>
          <w:rFonts w:hint="eastAsia"/>
          <w:bCs/>
          <w:sz w:val="24"/>
          <w:highlight w:val="none"/>
        </w:rPr>
        <w:t>6.投标书及其附件</w:t>
      </w:r>
    </w:p>
    <w:p w14:paraId="6E877083">
      <w:pPr>
        <w:spacing w:line="360" w:lineRule="auto"/>
        <w:ind w:firstLine="480" w:firstLineChars="200"/>
        <w:rPr>
          <w:bCs/>
          <w:sz w:val="24"/>
          <w:highlight w:val="none"/>
        </w:rPr>
      </w:pPr>
      <w:r>
        <w:rPr>
          <w:rFonts w:hint="eastAsia"/>
          <w:bCs/>
          <w:sz w:val="24"/>
          <w:highlight w:val="none"/>
        </w:rPr>
        <w:t>以上文件在先的优先使用，当以上文件冲突时，以对委托人有利的为准。</w:t>
      </w:r>
    </w:p>
    <w:p w14:paraId="4776D786">
      <w:pPr>
        <w:spacing w:line="360" w:lineRule="auto"/>
        <w:rPr>
          <w:bCs/>
          <w:sz w:val="24"/>
          <w:highlight w:val="none"/>
        </w:rPr>
      </w:pPr>
      <w:r>
        <w:rPr>
          <w:rFonts w:hint="eastAsia"/>
          <w:bCs/>
          <w:sz w:val="24"/>
          <w:highlight w:val="none"/>
        </w:rPr>
        <w:t>1.4 适用法律</w:t>
      </w:r>
      <w:bookmarkEnd w:id="15"/>
    </w:p>
    <w:p w14:paraId="174A5225">
      <w:pPr>
        <w:snapToGrid w:val="0"/>
        <w:spacing w:line="360" w:lineRule="auto"/>
        <w:ind w:firstLine="480" w:firstLineChars="200"/>
        <w:rPr>
          <w:bCs/>
          <w:sz w:val="24"/>
          <w:highlight w:val="none"/>
          <w:u w:val="single"/>
        </w:rPr>
      </w:pPr>
      <w:r>
        <w:rPr>
          <w:rFonts w:hint="eastAsia"/>
          <w:bCs/>
          <w:sz w:val="24"/>
          <w:highlight w:val="none"/>
        </w:rPr>
        <w:t xml:space="preserve">本合同适用的其他规范性文件包括: </w:t>
      </w:r>
      <w:r>
        <w:rPr>
          <w:rFonts w:hint="eastAsia"/>
          <w:bCs/>
          <w:sz w:val="24"/>
          <w:highlight w:val="none"/>
          <w:u w:val="single"/>
        </w:rPr>
        <w:t>通用条件和国家及地方现行法规。</w:t>
      </w:r>
    </w:p>
    <w:p w14:paraId="000245AB">
      <w:pPr>
        <w:spacing w:line="360" w:lineRule="auto"/>
        <w:rPr>
          <w:bCs/>
          <w:sz w:val="24"/>
          <w:highlight w:val="none"/>
        </w:rPr>
      </w:pPr>
      <w:bookmarkStart w:id="16" w:name="_Toc30769"/>
      <w:r>
        <w:rPr>
          <w:rFonts w:hint="eastAsia"/>
          <w:bCs/>
          <w:sz w:val="24"/>
          <w:highlight w:val="none"/>
        </w:rPr>
        <w:t>2. 委托人的义务</w:t>
      </w:r>
      <w:bookmarkEnd w:id="16"/>
    </w:p>
    <w:p w14:paraId="5142DFB7">
      <w:pPr>
        <w:spacing w:line="360" w:lineRule="auto"/>
        <w:rPr>
          <w:bCs/>
          <w:sz w:val="24"/>
          <w:highlight w:val="none"/>
        </w:rPr>
      </w:pPr>
      <w:bookmarkStart w:id="17" w:name="_Toc22456"/>
      <w:r>
        <w:rPr>
          <w:rFonts w:hint="eastAsia"/>
          <w:bCs/>
          <w:sz w:val="24"/>
          <w:highlight w:val="none"/>
        </w:rPr>
        <w:t>2.1 提供资料</w:t>
      </w:r>
      <w:bookmarkEnd w:id="17"/>
    </w:p>
    <w:p w14:paraId="09DD5BE4">
      <w:pPr>
        <w:snapToGrid w:val="0"/>
        <w:spacing w:line="360" w:lineRule="auto"/>
        <w:ind w:firstLine="240" w:firstLineChars="100"/>
        <w:rPr>
          <w:bCs/>
          <w:sz w:val="24"/>
          <w:highlight w:val="none"/>
        </w:rPr>
      </w:pPr>
      <w:r>
        <w:rPr>
          <w:rFonts w:hint="eastAsia"/>
          <w:bCs/>
          <w:sz w:val="24"/>
          <w:highlight w:val="none"/>
        </w:rPr>
        <w:t>委托人向咨询人提供与本合同咨询业务有关资料的时间为： 在资料确定</w:t>
      </w:r>
      <w:r>
        <w:rPr>
          <w:rFonts w:hint="eastAsia"/>
          <w:bCs/>
          <w:sz w:val="24"/>
          <w:highlight w:val="none"/>
          <w:u w:val="single"/>
          <w:lang w:val="en-US"/>
        </w:rPr>
        <w:t xml:space="preserve">  </w:t>
      </w:r>
      <w:r>
        <w:rPr>
          <w:rFonts w:hint="eastAsia"/>
          <w:bCs/>
          <w:sz w:val="24"/>
          <w:highlight w:val="none"/>
        </w:rPr>
        <w:t>个工作日内。</w:t>
      </w:r>
    </w:p>
    <w:p w14:paraId="195F8085">
      <w:pPr>
        <w:spacing w:line="360" w:lineRule="auto"/>
        <w:rPr>
          <w:bCs/>
          <w:sz w:val="24"/>
          <w:highlight w:val="none"/>
        </w:rPr>
      </w:pPr>
      <w:bookmarkStart w:id="18" w:name="_Toc29869"/>
      <w:r>
        <w:rPr>
          <w:rFonts w:hint="eastAsia"/>
          <w:bCs/>
          <w:sz w:val="24"/>
          <w:highlight w:val="none"/>
        </w:rPr>
        <w:t>2.</w:t>
      </w:r>
      <w:r>
        <w:rPr>
          <w:rFonts w:hint="eastAsia"/>
          <w:bCs/>
          <w:sz w:val="24"/>
          <w:highlight w:val="none"/>
          <w:lang w:val="en-US"/>
        </w:rPr>
        <w:t>2</w:t>
      </w:r>
      <w:r>
        <w:rPr>
          <w:rFonts w:hint="eastAsia"/>
          <w:bCs/>
          <w:sz w:val="24"/>
          <w:highlight w:val="none"/>
        </w:rPr>
        <w:t xml:space="preserve"> 委托人代表</w:t>
      </w:r>
      <w:bookmarkEnd w:id="18"/>
    </w:p>
    <w:p w14:paraId="5CD3EE6D">
      <w:pPr>
        <w:snapToGrid w:val="0"/>
        <w:spacing w:line="360" w:lineRule="auto"/>
        <w:ind w:firstLine="480" w:firstLineChars="200"/>
        <w:rPr>
          <w:bCs/>
          <w:sz w:val="24"/>
          <w:highlight w:val="none"/>
          <w:u w:val="single"/>
        </w:rPr>
      </w:pPr>
      <w:r>
        <w:rPr>
          <w:rFonts w:hint="eastAsia"/>
          <w:bCs/>
          <w:sz w:val="24"/>
          <w:highlight w:val="none"/>
        </w:rPr>
        <w:t>委托人代表为：</w:t>
      </w:r>
      <w:r>
        <w:rPr>
          <w:rFonts w:hint="eastAsia"/>
          <w:bCs/>
          <w:sz w:val="24"/>
          <w:highlight w:val="none"/>
          <w:u w:val="single"/>
        </w:rPr>
        <w:t xml:space="preserve">       </w:t>
      </w:r>
      <w:r>
        <w:rPr>
          <w:rFonts w:hint="eastAsia"/>
          <w:bCs/>
          <w:sz w:val="24"/>
          <w:highlight w:val="none"/>
        </w:rPr>
        <w:t>，其权限范围：</w:t>
      </w:r>
      <w:r>
        <w:rPr>
          <w:rFonts w:hint="eastAsia"/>
          <w:bCs/>
          <w:sz w:val="24"/>
          <w:highlight w:val="none"/>
          <w:u w:val="single"/>
        </w:rPr>
        <w:t>负责与咨询人业务有关的第三方协调工作，为咨询人提供外部条件。</w:t>
      </w:r>
    </w:p>
    <w:p w14:paraId="211F9E6A">
      <w:pPr>
        <w:spacing w:line="360" w:lineRule="auto"/>
        <w:rPr>
          <w:bCs/>
          <w:sz w:val="24"/>
          <w:highlight w:val="none"/>
        </w:rPr>
      </w:pPr>
      <w:bookmarkStart w:id="19" w:name="_Toc16303"/>
      <w:r>
        <w:rPr>
          <w:rFonts w:hint="eastAsia"/>
          <w:bCs/>
          <w:sz w:val="24"/>
          <w:highlight w:val="none"/>
        </w:rPr>
        <w:t>2.</w:t>
      </w:r>
      <w:r>
        <w:rPr>
          <w:rFonts w:hint="eastAsia"/>
          <w:bCs/>
          <w:sz w:val="24"/>
          <w:highlight w:val="none"/>
          <w:lang w:val="en-US"/>
        </w:rPr>
        <w:t>3</w:t>
      </w:r>
      <w:r>
        <w:rPr>
          <w:rFonts w:hint="eastAsia"/>
          <w:bCs/>
          <w:sz w:val="24"/>
          <w:highlight w:val="none"/>
        </w:rPr>
        <w:t xml:space="preserve"> 答复</w:t>
      </w:r>
      <w:bookmarkEnd w:id="19"/>
    </w:p>
    <w:p w14:paraId="3C0CF000">
      <w:pPr>
        <w:snapToGrid w:val="0"/>
        <w:spacing w:line="360" w:lineRule="auto"/>
        <w:ind w:firstLine="480" w:firstLineChars="200"/>
        <w:rPr>
          <w:bCs/>
          <w:sz w:val="24"/>
          <w:highlight w:val="none"/>
        </w:rPr>
      </w:pPr>
      <w:r>
        <w:rPr>
          <w:rFonts w:hint="eastAsia"/>
          <w:bCs/>
          <w:sz w:val="24"/>
          <w:highlight w:val="none"/>
        </w:rPr>
        <w:t>委托人同意在</w:t>
      </w:r>
      <w:r>
        <w:rPr>
          <w:rFonts w:hint="eastAsia"/>
          <w:bCs/>
          <w:sz w:val="24"/>
          <w:highlight w:val="none"/>
          <w:u w:val="single"/>
        </w:rPr>
        <w:t xml:space="preserve"> </w:t>
      </w:r>
      <w:r>
        <w:rPr>
          <w:rFonts w:hint="eastAsia"/>
          <w:bCs/>
          <w:sz w:val="24"/>
          <w:highlight w:val="none"/>
          <w:u w:val="single"/>
          <w:lang w:val="en-US"/>
        </w:rPr>
        <w:t xml:space="preserve">   </w:t>
      </w:r>
      <w:r>
        <w:rPr>
          <w:rFonts w:hint="eastAsia"/>
          <w:bCs/>
          <w:sz w:val="24"/>
          <w:highlight w:val="none"/>
        </w:rPr>
        <w:t>个工作日内，对咨询人书面提交并要求做出决定的事宜给予书面答复。逾期未答复的，视为委托人认可。</w:t>
      </w:r>
    </w:p>
    <w:p w14:paraId="1218E6CA">
      <w:pPr>
        <w:spacing w:line="360" w:lineRule="auto"/>
        <w:rPr>
          <w:bCs/>
          <w:sz w:val="24"/>
          <w:highlight w:val="none"/>
        </w:rPr>
      </w:pPr>
      <w:bookmarkStart w:id="20" w:name="_Toc20168"/>
      <w:r>
        <w:rPr>
          <w:rFonts w:hint="eastAsia"/>
          <w:bCs/>
          <w:sz w:val="24"/>
          <w:highlight w:val="none"/>
        </w:rPr>
        <w:t>3. 咨询人的义务</w:t>
      </w:r>
      <w:bookmarkEnd w:id="20"/>
    </w:p>
    <w:p w14:paraId="3F556CBE">
      <w:pPr>
        <w:spacing w:line="360" w:lineRule="auto"/>
        <w:rPr>
          <w:bCs/>
          <w:sz w:val="24"/>
          <w:highlight w:val="none"/>
        </w:rPr>
      </w:pPr>
      <w:bookmarkStart w:id="21" w:name="_Toc23439"/>
      <w:r>
        <w:rPr>
          <w:rFonts w:hint="eastAsia"/>
          <w:bCs/>
          <w:sz w:val="24"/>
          <w:highlight w:val="none"/>
        </w:rPr>
        <w:t>3.1 项目咨询团队及人员</w:t>
      </w:r>
      <w:bookmarkEnd w:id="21"/>
    </w:p>
    <w:p w14:paraId="5D683F61">
      <w:pPr>
        <w:snapToGrid w:val="0"/>
        <w:spacing w:line="360" w:lineRule="auto"/>
        <w:ind w:firstLine="480" w:firstLineChars="200"/>
        <w:rPr>
          <w:bCs/>
          <w:sz w:val="24"/>
          <w:highlight w:val="none"/>
        </w:rPr>
      </w:pPr>
      <w:r>
        <w:rPr>
          <w:rFonts w:hint="eastAsia"/>
          <w:bCs/>
          <w:sz w:val="24"/>
          <w:highlight w:val="none"/>
        </w:rPr>
        <w:t>3.1.1 项目咨询团队的项目负责人应具有</w:t>
      </w:r>
      <w:r>
        <w:rPr>
          <w:rFonts w:hint="eastAsia"/>
          <w:bCs/>
          <w:sz w:val="24"/>
          <w:highlight w:val="none"/>
          <w:u w:val="single"/>
        </w:rPr>
        <w:t xml:space="preserve"> 一级造价工程师 </w:t>
      </w:r>
      <w:r>
        <w:rPr>
          <w:rFonts w:hint="eastAsia"/>
          <w:bCs/>
          <w:sz w:val="24"/>
          <w:highlight w:val="none"/>
        </w:rPr>
        <w:t>资格条件，常驻现场人员不得少于</w:t>
      </w:r>
      <w:r>
        <w:rPr>
          <w:rFonts w:hint="eastAsia"/>
          <w:bCs/>
          <w:sz w:val="24"/>
          <w:highlight w:val="none"/>
          <w:u w:val="single"/>
        </w:rPr>
        <w:t xml:space="preserve">    </w:t>
      </w:r>
      <w:r>
        <w:rPr>
          <w:rFonts w:hint="eastAsia"/>
          <w:bCs/>
          <w:sz w:val="24"/>
          <w:highlight w:val="none"/>
        </w:rPr>
        <w:t>人，且其中必须具备</w:t>
      </w:r>
      <w:r>
        <w:rPr>
          <w:rFonts w:hint="eastAsia"/>
          <w:bCs/>
          <w:sz w:val="24"/>
          <w:highlight w:val="none"/>
          <w:u w:val="single"/>
        </w:rPr>
        <w:t xml:space="preserve">  </w:t>
      </w:r>
      <w:r>
        <w:rPr>
          <w:rFonts w:hint="eastAsia"/>
          <w:bCs/>
          <w:sz w:val="24"/>
          <w:highlight w:val="none"/>
        </w:rPr>
        <w:t>名土建专业、</w:t>
      </w:r>
      <w:r>
        <w:rPr>
          <w:rFonts w:hint="eastAsia"/>
          <w:bCs/>
          <w:sz w:val="24"/>
          <w:highlight w:val="none"/>
          <w:u w:val="single"/>
        </w:rPr>
        <w:t xml:space="preserve">   </w:t>
      </w:r>
      <w:r>
        <w:rPr>
          <w:rFonts w:hint="eastAsia"/>
          <w:bCs/>
          <w:sz w:val="24"/>
          <w:highlight w:val="none"/>
        </w:rPr>
        <w:t>名安装专业造价人员。</w:t>
      </w:r>
    </w:p>
    <w:p w14:paraId="363C1234">
      <w:pPr>
        <w:snapToGrid w:val="0"/>
        <w:spacing w:line="360" w:lineRule="auto"/>
        <w:ind w:firstLine="480" w:firstLineChars="200"/>
        <w:rPr>
          <w:bCs/>
          <w:sz w:val="24"/>
          <w:highlight w:val="none"/>
        </w:rPr>
      </w:pPr>
      <w:r>
        <w:rPr>
          <w:rFonts w:hint="eastAsia"/>
          <w:bCs/>
          <w:sz w:val="24"/>
          <w:highlight w:val="none"/>
        </w:rPr>
        <w:t>3.1.2 项目负责人为：</w:t>
      </w:r>
      <w:r>
        <w:rPr>
          <w:rFonts w:hint="eastAsia"/>
          <w:bCs/>
          <w:sz w:val="24"/>
          <w:highlight w:val="none"/>
          <w:u w:val="single"/>
        </w:rPr>
        <w:t xml:space="preserve">      </w:t>
      </w:r>
      <w:r>
        <w:rPr>
          <w:rFonts w:hint="eastAsia"/>
          <w:bCs/>
          <w:sz w:val="24"/>
          <w:highlight w:val="none"/>
        </w:rPr>
        <w:t>，项目负责人为履行本合同的权限为：</w:t>
      </w:r>
      <w:r>
        <w:rPr>
          <w:rFonts w:hint="eastAsia"/>
          <w:bCs/>
          <w:sz w:val="24"/>
          <w:highlight w:val="none"/>
          <w:u w:val="single"/>
        </w:rPr>
        <w:t xml:space="preserve"> 负责本咨询项目的具体实施及和委托人的联络工作等。</w:t>
      </w:r>
    </w:p>
    <w:p w14:paraId="0C7D0E21">
      <w:pPr>
        <w:snapToGrid w:val="0"/>
        <w:spacing w:line="360" w:lineRule="auto"/>
        <w:ind w:firstLine="480" w:firstLineChars="200"/>
        <w:rPr>
          <w:bCs/>
          <w:sz w:val="24"/>
          <w:highlight w:val="none"/>
        </w:rPr>
      </w:pPr>
      <w:r>
        <w:rPr>
          <w:rFonts w:hint="eastAsia"/>
          <w:bCs/>
          <w:sz w:val="24"/>
          <w:highlight w:val="none"/>
        </w:rPr>
        <w:t>3.1.3 咨询人更换项目咨询团队其他咨询人员的约定：</w:t>
      </w:r>
      <w:r>
        <w:rPr>
          <w:rFonts w:hint="eastAsia"/>
          <w:bCs/>
          <w:sz w:val="24"/>
          <w:highlight w:val="none"/>
          <w:u w:val="single"/>
        </w:rPr>
        <w:t>中标后确保投标文件中所列项目负责人及项目组所有人员按工程进度要求和招标人要求到位，除因死亡、中标后患重大疾病不能胜任工作及招标人要求更换的原因外，不得更换；更换项目负责人或项目组其他人员，除了必须取得招标人同意外，其更换后的项目负责人或项目组其他人员的资格不得低于招标文件的要求，否则将接受招标人的违约罚金，且招标人保留单方面解除合同的权力，咨询人不得有异议。</w:t>
      </w:r>
    </w:p>
    <w:p w14:paraId="216DDA6A">
      <w:pPr>
        <w:snapToGrid w:val="0"/>
        <w:spacing w:line="360" w:lineRule="auto"/>
        <w:ind w:firstLine="480" w:firstLineChars="200"/>
        <w:rPr>
          <w:bCs/>
          <w:sz w:val="24"/>
          <w:highlight w:val="none"/>
          <w:u w:val="single"/>
        </w:rPr>
      </w:pPr>
      <w:r>
        <w:rPr>
          <w:rFonts w:hint="eastAsia"/>
          <w:bCs/>
          <w:sz w:val="24"/>
          <w:highlight w:val="none"/>
        </w:rPr>
        <w:t>3.1.4 委托人要求更换咨询人员的情形还包括：</w:t>
      </w:r>
      <w:r>
        <w:rPr>
          <w:rFonts w:hint="eastAsia"/>
          <w:bCs/>
          <w:sz w:val="24"/>
          <w:highlight w:val="none"/>
          <w:u w:val="single"/>
        </w:rPr>
        <w:t>（1）工作执行力度与效率不能满足工程进展要求的；（2）无视委托人对本项目具体问题的意见和建议的；（3）对委托人所提出的问题不能及时核对或答复，导致本合同不能全部或部分履行的。</w:t>
      </w:r>
    </w:p>
    <w:p w14:paraId="1C4821A3">
      <w:pPr>
        <w:spacing w:line="360" w:lineRule="auto"/>
        <w:rPr>
          <w:bCs/>
          <w:sz w:val="24"/>
          <w:highlight w:val="none"/>
        </w:rPr>
      </w:pPr>
      <w:bookmarkStart w:id="22" w:name="_Toc10169"/>
      <w:r>
        <w:rPr>
          <w:rFonts w:hint="eastAsia"/>
          <w:bCs/>
          <w:sz w:val="24"/>
          <w:highlight w:val="none"/>
        </w:rPr>
        <w:t>3.2 咨询人的工作要求</w:t>
      </w:r>
      <w:bookmarkEnd w:id="22"/>
    </w:p>
    <w:p w14:paraId="21E7E80B">
      <w:pPr>
        <w:spacing w:line="480" w:lineRule="exact"/>
        <w:ind w:firstLine="240" w:firstLineChars="100"/>
        <w:rPr>
          <w:bCs/>
          <w:sz w:val="24"/>
          <w:highlight w:val="none"/>
        </w:rPr>
      </w:pPr>
      <w:r>
        <w:rPr>
          <w:rFonts w:hint="eastAsia"/>
          <w:bCs/>
          <w:sz w:val="24"/>
          <w:highlight w:val="none"/>
        </w:rPr>
        <w:t xml:space="preserve">3.2.1 </w:t>
      </w:r>
    </w:p>
    <w:p w14:paraId="6F7C5AA0">
      <w:pPr>
        <w:numPr>
          <w:ilvl w:val="0"/>
          <w:numId w:val="1"/>
        </w:numPr>
        <w:snapToGrid w:val="0"/>
        <w:spacing w:line="360" w:lineRule="auto"/>
        <w:rPr>
          <w:bCs/>
          <w:sz w:val="24"/>
          <w:highlight w:val="none"/>
        </w:rPr>
      </w:pPr>
      <w:r>
        <w:rPr>
          <w:rFonts w:hint="eastAsia"/>
          <w:bCs/>
          <w:sz w:val="24"/>
          <w:highlight w:val="none"/>
        </w:rPr>
        <w:t>招标文件或施工合同审核报告（一份）：收到委托人提供电子版招标文件或施工合同文件后2天内；</w:t>
      </w:r>
    </w:p>
    <w:p w14:paraId="6C6F1A19">
      <w:pPr>
        <w:numPr>
          <w:ilvl w:val="0"/>
          <w:numId w:val="1"/>
        </w:numPr>
        <w:snapToGrid w:val="0"/>
        <w:spacing w:line="360" w:lineRule="auto"/>
        <w:rPr>
          <w:bCs/>
          <w:sz w:val="24"/>
          <w:highlight w:val="none"/>
        </w:rPr>
      </w:pPr>
      <w:r>
        <w:rPr>
          <w:rFonts w:hint="eastAsia"/>
          <w:bCs/>
          <w:sz w:val="24"/>
          <w:highlight w:val="none"/>
        </w:rPr>
        <w:t>施工图预算审核（或工程量清单及招标控制价审核）报告：收到施工单位提供送审文件后的14天内完成审核初稿，完成核对并经确认后3日内向委托人提供施工图预算审核（或工程量清单及招标控制价审核）报告五份，相应计算式的电子档（软件版本、EXCEL表格格式、PDF格式）；</w:t>
      </w:r>
    </w:p>
    <w:p w14:paraId="204FE582">
      <w:pPr>
        <w:numPr>
          <w:ilvl w:val="0"/>
          <w:numId w:val="1"/>
        </w:numPr>
        <w:snapToGrid w:val="0"/>
        <w:spacing w:line="360" w:lineRule="auto"/>
        <w:rPr>
          <w:bCs/>
          <w:sz w:val="24"/>
          <w:highlight w:val="none"/>
        </w:rPr>
      </w:pPr>
      <w:r>
        <w:rPr>
          <w:rFonts w:hint="eastAsia"/>
          <w:bCs/>
          <w:sz w:val="24"/>
          <w:highlight w:val="none"/>
        </w:rPr>
        <w:t>进度款审核意报告（五份）：收到施工单位提供进度款申请资料后7天内；</w:t>
      </w:r>
    </w:p>
    <w:p w14:paraId="205B870F">
      <w:pPr>
        <w:numPr>
          <w:ilvl w:val="0"/>
          <w:numId w:val="1"/>
        </w:numPr>
        <w:snapToGrid w:val="0"/>
        <w:spacing w:line="360" w:lineRule="auto"/>
        <w:rPr>
          <w:bCs/>
          <w:sz w:val="24"/>
          <w:highlight w:val="none"/>
        </w:rPr>
      </w:pPr>
      <w:r>
        <w:rPr>
          <w:rFonts w:hint="eastAsia"/>
          <w:bCs/>
          <w:sz w:val="24"/>
          <w:highlight w:val="none"/>
        </w:rPr>
        <w:t>材料或设备定价建议报告（五份）：收到提供需询价材料清单后7天内；</w:t>
      </w:r>
    </w:p>
    <w:p w14:paraId="70D520C6">
      <w:pPr>
        <w:numPr>
          <w:ilvl w:val="0"/>
          <w:numId w:val="1"/>
        </w:numPr>
        <w:snapToGrid w:val="0"/>
        <w:spacing w:line="360" w:lineRule="auto"/>
        <w:rPr>
          <w:bCs/>
          <w:sz w:val="24"/>
          <w:highlight w:val="none"/>
        </w:rPr>
      </w:pPr>
      <w:r>
        <w:rPr>
          <w:rFonts w:hint="eastAsia"/>
          <w:bCs/>
          <w:sz w:val="24"/>
          <w:highlight w:val="none"/>
        </w:rPr>
        <w:t>周报（一份）：每周五下午三点前，提供word版本及纸质版本；</w:t>
      </w:r>
    </w:p>
    <w:p w14:paraId="4B06171E">
      <w:pPr>
        <w:numPr>
          <w:ilvl w:val="0"/>
          <w:numId w:val="1"/>
        </w:numPr>
        <w:snapToGrid w:val="0"/>
        <w:spacing w:line="360" w:lineRule="auto"/>
        <w:rPr>
          <w:bCs/>
          <w:sz w:val="24"/>
          <w:highlight w:val="none"/>
        </w:rPr>
      </w:pPr>
      <w:r>
        <w:rPr>
          <w:rFonts w:hint="eastAsia"/>
          <w:bCs/>
          <w:sz w:val="24"/>
          <w:highlight w:val="none"/>
        </w:rPr>
        <w:t>月报（一份）：每月3号前，提供word版本及纸质版本；</w:t>
      </w:r>
    </w:p>
    <w:p w14:paraId="2ED26B6A">
      <w:pPr>
        <w:numPr>
          <w:ilvl w:val="0"/>
          <w:numId w:val="1"/>
        </w:numPr>
        <w:snapToGrid w:val="0"/>
        <w:spacing w:line="360" w:lineRule="auto"/>
        <w:rPr>
          <w:bCs/>
          <w:sz w:val="24"/>
          <w:highlight w:val="none"/>
        </w:rPr>
      </w:pPr>
      <w:r>
        <w:rPr>
          <w:rFonts w:hint="eastAsia"/>
          <w:bCs/>
          <w:sz w:val="24"/>
          <w:highlight w:val="none"/>
        </w:rPr>
        <w:t>结算审核文件：初稿应在收到竣工结算送审资料后10天内完成，完成核对并经确认后3日内向委托人提供结算审核咨询报告各五份，相应计算式的电子档（软件版本、EXCEL表格格式、PDF格式）；</w:t>
      </w:r>
    </w:p>
    <w:p w14:paraId="74BF8BDD">
      <w:pPr>
        <w:numPr>
          <w:ilvl w:val="0"/>
          <w:numId w:val="1"/>
        </w:numPr>
        <w:snapToGrid w:val="0"/>
        <w:spacing w:line="360" w:lineRule="auto"/>
        <w:rPr>
          <w:bCs/>
          <w:sz w:val="24"/>
          <w:highlight w:val="none"/>
        </w:rPr>
      </w:pPr>
      <w:r>
        <w:rPr>
          <w:rFonts w:hint="eastAsia"/>
          <w:bCs/>
          <w:sz w:val="24"/>
          <w:highlight w:val="none"/>
        </w:rPr>
        <w:t>提供以上成果文件，应该是完整的、全面的。</w:t>
      </w:r>
    </w:p>
    <w:p w14:paraId="7AAA9FC9">
      <w:pPr>
        <w:snapToGrid w:val="0"/>
        <w:spacing w:line="360" w:lineRule="auto"/>
        <w:rPr>
          <w:bCs/>
          <w:sz w:val="24"/>
          <w:highlight w:val="none"/>
        </w:rPr>
      </w:pPr>
      <w:r>
        <w:rPr>
          <w:rFonts w:hint="eastAsia"/>
          <w:bCs/>
          <w:sz w:val="24"/>
          <w:highlight w:val="none"/>
        </w:rPr>
        <w:t>咨询人向委托人提供的资料还包括：</w:t>
      </w:r>
      <w:r>
        <w:rPr>
          <w:rFonts w:hint="eastAsia"/>
          <w:bCs/>
          <w:sz w:val="24"/>
          <w:highlight w:val="none"/>
          <w:u w:val="single"/>
        </w:rPr>
        <w:t xml:space="preserve">                                    </w:t>
      </w:r>
      <w:r>
        <w:rPr>
          <w:rFonts w:hint="eastAsia"/>
          <w:bCs/>
          <w:sz w:val="24"/>
          <w:highlight w:val="none"/>
        </w:rPr>
        <w:t>。</w:t>
      </w:r>
    </w:p>
    <w:p w14:paraId="1AD3E2BA">
      <w:pPr>
        <w:snapToGrid w:val="0"/>
        <w:spacing w:line="360" w:lineRule="auto"/>
        <w:ind w:firstLine="480" w:firstLineChars="200"/>
        <w:rPr>
          <w:bCs/>
          <w:sz w:val="24"/>
          <w:highlight w:val="none"/>
        </w:rPr>
      </w:pPr>
      <w:r>
        <w:rPr>
          <w:rFonts w:hint="eastAsia"/>
          <w:bCs/>
          <w:sz w:val="24"/>
          <w:highlight w:val="none"/>
        </w:rPr>
        <w:t>3.2.</w:t>
      </w:r>
      <w:r>
        <w:rPr>
          <w:rFonts w:hint="eastAsia"/>
          <w:bCs/>
          <w:sz w:val="24"/>
          <w:highlight w:val="none"/>
          <w:lang w:val="en-US"/>
        </w:rPr>
        <w:t>2</w:t>
      </w:r>
      <w:r>
        <w:rPr>
          <w:rFonts w:hint="eastAsia"/>
          <w:bCs/>
          <w:sz w:val="24"/>
          <w:highlight w:val="none"/>
        </w:rPr>
        <w:t xml:space="preserve"> 咨询人应在收到委托人以书面形式提出的建议或者异议后</w:t>
      </w:r>
      <w:r>
        <w:rPr>
          <w:rFonts w:hint="eastAsia"/>
          <w:bCs/>
          <w:sz w:val="24"/>
          <w:highlight w:val="none"/>
          <w:u w:val="single"/>
        </w:rPr>
        <w:t xml:space="preserve"> </w:t>
      </w:r>
      <w:r>
        <w:rPr>
          <w:rFonts w:hint="eastAsia"/>
          <w:bCs/>
          <w:sz w:val="24"/>
          <w:highlight w:val="none"/>
          <w:u w:val="single"/>
          <w:lang w:val="en-US"/>
        </w:rPr>
        <w:t xml:space="preserve">    </w:t>
      </w:r>
      <w:r>
        <w:rPr>
          <w:rFonts w:hint="eastAsia"/>
          <w:bCs/>
          <w:sz w:val="24"/>
          <w:highlight w:val="none"/>
        </w:rPr>
        <w:t>日内给予书面答复。</w:t>
      </w:r>
    </w:p>
    <w:p w14:paraId="274B3CD0">
      <w:pPr>
        <w:spacing w:line="360" w:lineRule="auto"/>
        <w:rPr>
          <w:bCs/>
          <w:sz w:val="24"/>
          <w:highlight w:val="none"/>
        </w:rPr>
      </w:pPr>
      <w:bookmarkStart w:id="23" w:name="_Toc1199"/>
      <w:r>
        <w:rPr>
          <w:rFonts w:hint="eastAsia"/>
          <w:bCs/>
          <w:sz w:val="24"/>
          <w:highlight w:val="none"/>
        </w:rPr>
        <w:t>4. 违约责任</w:t>
      </w:r>
      <w:bookmarkEnd w:id="23"/>
    </w:p>
    <w:p w14:paraId="219ECD83">
      <w:pPr>
        <w:spacing w:line="360" w:lineRule="auto"/>
        <w:rPr>
          <w:bCs/>
          <w:sz w:val="24"/>
          <w:highlight w:val="none"/>
        </w:rPr>
      </w:pPr>
      <w:bookmarkStart w:id="24" w:name="_Toc29549"/>
      <w:r>
        <w:rPr>
          <w:rFonts w:hint="eastAsia"/>
          <w:bCs/>
          <w:sz w:val="24"/>
          <w:highlight w:val="none"/>
        </w:rPr>
        <w:t>4.1 委托人的违约责任</w:t>
      </w:r>
      <w:bookmarkEnd w:id="24"/>
    </w:p>
    <w:p w14:paraId="2F74EB18">
      <w:pPr>
        <w:snapToGrid w:val="0"/>
        <w:spacing w:line="360" w:lineRule="auto"/>
        <w:ind w:firstLine="480" w:firstLineChars="200"/>
        <w:rPr>
          <w:bCs/>
          <w:sz w:val="24"/>
          <w:highlight w:val="none"/>
        </w:rPr>
      </w:pPr>
      <w:r>
        <w:rPr>
          <w:rFonts w:hint="eastAsia"/>
          <w:bCs/>
          <w:sz w:val="24"/>
          <w:highlight w:val="none"/>
        </w:rPr>
        <w:t>4.1.1 委托人违约金的计算及支付方法：</w:t>
      </w:r>
      <w:r>
        <w:rPr>
          <w:rFonts w:hint="eastAsia"/>
          <w:bCs/>
          <w:sz w:val="24"/>
          <w:highlight w:val="none"/>
          <w:u w:val="single"/>
        </w:rPr>
        <w:t xml:space="preserve"> / </w:t>
      </w:r>
      <w:r>
        <w:rPr>
          <w:rFonts w:hint="eastAsia"/>
          <w:bCs/>
          <w:sz w:val="24"/>
          <w:highlight w:val="none"/>
        </w:rPr>
        <w:t>。</w:t>
      </w:r>
    </w:p>
    <w:p w14:paraId="0F7FF10F">
      <w:pPr>
        <w:snapToGrid w:val="0"/>
        <w:spacing w:line="360" w:lineRule="auto"/>
        <w:ind w:firstLine="480" w:firstLineChars="200"/>
        <w:rPr>
          <w:bCs/>
          <w:sz w:val="24"/>
          <w:highlight w:val="none"/>
        </w:rPr>
      </w:pPr>
      <w:r>
        <w:rPr>
          <w:rFonts w:hint="eastAsia"/>
          <w:bCs/>
          <w:sz w:val="24"/>
          <w:highlight w:val="none"/>
        </w:rPr>
        <w:t>4.1.2 委托人赔偿金额按下列方法确定并支付：</w:t>
      </w:r>
      <w:r>
        <w:rPr>
          <w:rFonts w:hint="eastAsia"/>
          <w:bCs/>
          <w:sz w:val="24"/>
          <w:highlight w:val="none"/>
          <w:u w:val="single"/>
        </w:rPr>
        <w:t xml:space="preserve"> / </w:t>
      </w:r>
      <w:r>
        <w:rPr>
          <w:rFonts w:hint="eastAsia"/>
          <w:bCs/>
          <w:sz w:val="24"/>
          <w:highlight w:val="none"/>
        </w:rPr>
        <w:t>。</w:t>
      </w:r>
    </w:p>
    <w:p w14:paraId="7A8C1744">
      <w:pPr>
        <w:snapToGrid w:val="0"/>
        <w:spacing w:line="360" w:lineRule="auto"/>
        <w:ind w:firstLine="480" w:firstLineChars="200"/>
        <w:rPr>
          <w:bCs/>
          <w:sz w:val="24"/>
          <w:highlight w:val="none"/>
        </w:rPr>
      </w:pPr>
      <w:r>
        <w:rPr>
          <w:rFonts w:hint="eastAsia"/>
          <w:bCs/>
          <w:sz w:val="24"/>
          <w:highlight w:val="none"/>
        </w:rPr>
        <w:t>4.1.3 委托人逾期付款利息按下列方法计算并支付：</w:t>
      </w:r>
      <w:r>
        <w:rPr>
          <w:rFonts w:hint="eastAsia"/>
          <w:bCs/>
          <w:sz w:val="24"/>
          <w:highlight w:val="none"/>
          <w:u w:val="single"/>
        </w:rPr>
        <w:t xml:space="preserve"> /  </w:t>
      </w:r>
      <w:r>
        <w:rPr>
          <w:rFonts w:hint="eastAsia"/>
          <w:bCs/>
          <w:sz w:val="24"/>
          <w:highlight w:val="none"/>
        </w:rPr>
        <w:t>。</w:t>
      </w:r>
    </w:p>
    <w:p w14:paraId="1EDC6F55">
      <w:pPr>
        <w:spacing w:line="360" w:lineRule="auto"/>
        <w:rPr>
          <w:bCs/>
          <w:sz w:val="24"/>
          <w:highlight w:val="none"/>
        </w:rPr>
      </w:pPr>
      <w:bookmarkStart w:id="25" w:name="_Toc5526"/>
      <w:r>
        <w:rPr>
          <w:rFonts w:hint="eastAsia"/>
          <w:bCs/>
          <w:sz w:val="24"/>
          <w:highlight w:val="none"/>
        </w:rPr>
        <w:t>4.2 咨询人的违约责任</w:t>
      </w:r>
      <w:bookmarkEnd w:id="25"/>
    </w:p>
    <w:p w14:paraId="69617374">
      <w:pPr>
        <w:snapToGrid w:val="0"/>
        <w:spacing w:line="360" w:lineRule="auto"/>
        <w:ind w:firstLine="480" w:firstLineChars="200"/>
        <w:rPr>
          <w:bCs/>
          <w:sz w:val="24"/>
          <w:highlight w:val="none"/>
        </w:rPr>
      </w:pPr>
      <w:r>
        <w:rPr>
          <w:rFonts w:hint="eastAsia"/>
          <w:bCs/>
          <w:sz w:val="24"/>
          <w:highlight w:val="none"/>
        </w:rPr>
        <w:t>4.2.1 咨询人违约金的计算及支付方法： 跟踪审计期间，如咨询人有舞弊及其他恶意损害委托人利益的行为，一经查实，委托人有权立即终止本协议的继续履行，咨询人应当向委托人支付本合同总金额20%作为违约金。</w:t>
      </w:r>
    </w:p>
    <w:p w14:paraId="0B821507">
      <w:pPr>
        <w:snapToGrid w:val="0"/>
        <w:spacing w:line="360" w:lineRule="auto"/>
        <w:ind w:firstLine="480" w:firstLineChars="200"/>
        <w:rPr>
          <w:bCs/>
          <w:sz w:val="24"/>
          <w:highlight w:val="none"/>
        </w:rPr>
      </w:pPr>
      <w:r>
        <w:rPr>
          <w:rFonts w:hint="eastAsia"/>
          <w:bCs/>
          <w:sz w:val="24"/>
          <w:highlight w:val="none"/>
        </w:rPr>
        <w:t>4.2.2 咨询人赔偿金额按下列方法确定并支付：咨询人在其责任期内如果因自身原因给委托人造成经济损失时，同意按以下办法承担责任，向委托人支付赔偿金：</w:t>
      </w:r>
      <w:r>
        <w:rPr>
          <w:rFonts w:hint="eastAsia"/>
          <w:bCs/>
          <w:sz w:val="24"/>
          <w:highlight w:val="none"/>
          <w:u w:val="single"/>
          <w:lang w:val="en-US"/>
        </w:rPr>
        <w:t xml:space="preserve">         </w:t>
      </w:r>
      <w:r>
        <w:rPr>
          <w:rFonts w:hint="eastAsia"/>
          <w:bCs/>
          <w:sz w:val="24"/>
          <w:highlight w:val="none"/>
        </w:rPr>
        <w:t>。但如咨询人有主观故意或者与利害关系人串通损害委托人利益并被查证属实的，赔偿金不受上述额度限制。</w:t>
      </w:r>
    </w:p>
    <w:p w14:paraId="23C2FE6C">
      <w:pPr>
        <w:spacing w:line="360" w:lineRule="auto"/>
        <w:rPr>
          <w:bCs/>
          <w:sz w:val="24"/>
          <w:highlight w:val="none"/>
        </w:rPr>
      </w:pPr>
      <w:bookmarkStart w:id="26" w:name="_Toc31009"/>
      <w:r>
        <w:rPr>
          <w:rFonts w:hint="eastAsia"/>
          <w:bCs/>
          <w:sz w:val="24"/>
          <w:highlight w:val="none"/>
        </w:rPr>
        <w:t>5. 支付</w:t>
      </w:r>
      <w:bookmarkEnd w:id="26"/>
    </w:p>
    <w:p w14:paraId="3BF8C75A">
      <w:pPr>
        <w:snapToGrid w:val="0"/>
        <w:spacing w:line="360" w:lineRule="auto"/>
        <w:rPr>
          <w:bCs/>
          <w:sz w:val="24"/>
          <w:highlight w:val="none"/>
        </w:rPr>
      </w:pPr>
      <w:r>
        <w:rPr>
          <w:rFonts w:hint="eastAsia"/>
          <w:bCs/>
          <w:sz w:val="24"/>
          <w:highlight w:val="none"/>
        </w:rPr>
        <w:t>5.1 支付货币</w:t>
      </w:r>
    </w:p>
    <w:p w14:paraId="46A45F2B">
      <w:pPr>
        <w:snapToGrid w:val="0"/>
        <w:spacing w:line="360" w:lineRule="auto"/>
        <w:ind w:firstLine="480" w:firstLineChars="200"/>
        <w:rPr>
          <w:bCs/>
          <w:sz w:val="24"/>
          <w:highlight w:val="none"/>
        </w:rPr>
      </w:pPr>
      <w:r>
        <w:rPr>
          <w:rFonts w:hint="eastAsia"/>
          <w:bCs/>
          <w:sz w:val="24"/>
          <w:highlight w:val="none"/>
        </w:rPr>
        <w:t>币种为：</w:t>
      </w:r>
      <w:r>
        <w:rPr>
          <w:rFonts w:hint="eastAsia"/>
          <w:bCs/>
          <w:sz w:val="24"/>
          <w:highlight w:val="none"/>
          <w:u w:val="single"/>
        </w:rPr>
        <w:t xml:space="preserve">  人民币 </w:t>
      </w:r>
      <w:r>
        <w:rPr>
          <w:rFonts w:hint="eastAsia"/>
          <w:bCs/>
          <w:sz w:val="24"/>
          <w:highlight w:val="none"/>
        </w:rPr>
        <w:t>，汇率为：</w:t>
      </w:r>
      <w:r>
        <w:rPr>
          <w:rFonts w:hint="eastAsia"/>
          <w:bCs/>
          <w:sz w:val="24"/>
          <w:highlight w:val="none"/>
          <w:u w:val="single"/>
        </w:rPr>
        <w:t xml:space="preserve">     /      </w:t>
      </w:r>
      <w:r>
        <w:rPr>
          <w:rFonts w:hint="eastAsia"/>
          <w:bCs/>
          <w:sz w:val="24"/>
          <w:highlight w:val="none"/>
        </w:rPr>
        <w:t>，其他约定：</w:t>
      </w:r>
      <w:r>
        <w:rPr>
          <w:rFonts w:hint="eastAsia"/>
          <w:bCs/>
          <w:sz w:val="24"/>
          <w:highlight w:val="none"/>
          <w:u w:val="single"/>
        </w:rPr>
        <w:t xml:space="preserve">      /      </w:t>
      </w:r>
      <w:r>
        <w:rPr>
          <w:rFonts w:hint="eastAsia"/>
          <w:bCs/>
          <w:sz w:val="24"/>
          <w:highlight w:val="none"/>
        </w:rPr>
        <w:t>。</w:t>
      </w:r>
    </w:p>
    <w:p w14:paraId="539EF8C7">
      <w:pPr>
        <w:spacing w:line="360" w:lineRule="auto"/>
        <w:rPr>
          <w:bCs/>
          <w:sz w:val="24"/>
          <w:highlight w:val="none"/>
        </w:rPr>
      </w:pPr>
      <w:bookmarkStart w:id="27" w:name="_Toc28895"/>
      <w:r>
        <w:rPr>
          <w:rFonts w:hint="eastAsia"/>
          <w:bCs/>
          <w:sz w:val="24"/>
          <w:highlight w:val="none"/>
        </w:rPr>
        <w:t>5.2 支付申请</w:t>
      </w:r>
      <w:bookmarkEnd w:id="27"/>
    </w:p>
    <w:p w14:paraId="77C40606">
      <w:pPr>
        <w:snapToGrid w:val="0"/>
        <w:spacing w:line="360" w:lineRule="auto"/>
        <w:ind w:firstLine="480" w:firstLineChars="200"/>
        <w:rPr>
          <w:rFonts w:hint="eastAsia" w:eastAsia="宋体"/>
          <w:bCs/>
          <w:sz w:val="24"/>
          <w:highlight w:val="none"/>
          <w:lang w:val="en-US" w:eastAsia="zh-CN"/>
        </w:rPr>
      </w:pPr>
      <w:bookmarkStart w:id="28" w:name="_Toc24886"/>
      <w:r>
        <w:rPr>
          <w:rFonts w:hint="eastAsia"/>
          <w:bCs/>
          <w:sz w:val="24"/>
          <w:highlight w:val="none"/>
        </w:rPr>
        <w:t>咨询人应在本合同约定的每次应付款日期 7 日前，向委托人提交支付申请书</w:t>
      </w:r>
      <w:r>
        <w:rPr>
          <w:rFonts w:hint="eastAsia"/>
          <w:bCs/>
          <w:sz w:val="24"/>
          <w:highlight w:val="none"/>
          <w:lang w:val="en-US" w:eastAsia="zh-CN"/>
        </w:rPr>
        <w:t>,提供增值税专用发票等要件。</w:t>
      </w:r>
    </w:p>
    <w:p w14:paraId="56A3B23B">
      <w:pPr>
        <w:snapToGrid w:val="0"/>
        <w:spacing w:line="360" w:lineRule="auto"/>
        <w:rPr>
          <w:bCs/>
          <w:sz w:val="24"/>
          <w:highlight w:val="none"/>
        </w:rPr>
      </w:pPr>
      <w:r>
        <w:rPr>
          <w:rFonts w:hint="eastAsia"/>
          <w:bCs/>
          <w:sz w:val="24"/>
          <w:highlight w:val="none"/>
        </w:rPr>
        <w:t>5.3 支付酬金</w:t>
      </w:r>
      <w:bookmarkEnd w:id="28"/>
      <w:r>
        <w:rPr>
          <w:rFonts w:hint="eastAsia"/>
          <w:bCs/>
          <w:sz w:val="24"/>
          <w:highlight w:val="none"/>
        </w:rPr>
        <w:t>。</w:t>
      </w:r>
    </w:p>
    <w:tbl>
      <w:tblPr>
        <w:tblStyle w:val="8"/>
        <w:tblW w:w="9237" w:type="dxa"/>
        <w:jc w:val="center"/>
        <w:tblLayout w:type="fixed"/>
        <w:tblCellMar>
          <w:top w:w="0" w:type="dxa"/>
          <w:left w:w="0" w:type="dxa"/>
          <w:bottom w:w="0" w:type="dxa"/>
          <w:right w:w="0" w:type="dxa"/>
        </w:tblCellMar>
      </w:tblPr>
      <w:tblGrid>
        <w:gridCol w:w="1107"/>
        <w:gridCol w:w="5800"/>
        <w:gridCol w:w="1164"/>
        <w:gridCol w:w="1166"/>
      </w:tblGrid>
      <w:tr w14:paraId="2285073D">
        <w:trPr>
          <w:trHeight w:val="470" w:hRule="atLeast"/>
          <w:jc w:val="center"/>
        </w:trPr>
        <w:tc>
          <w:tcPr>
            <w:tcW w:w="1107" w:type="dxa"/>
            <w:tcBorders>
              <w:top w:val="inset" w:color="000000" w:sz="6" w:space="0"/>
              <w:left w:val="inset" w:color="000000" w:sz="6" w:space="0"/>
              <w:bottom w:val="inset" w:color="000000" w:sz="6" w:space="0"/>
              <w:right w:val="inset" w:color="000000" w:sz="6" w:space="0"/>
            </w:tcBorders>
            <w:vAlign w:val="center"/>
          </w:tcPr>
          <w:p w14:paraId="69C50B98">
            <w:pPr>
              <w:snapToGrid w:val="0"/>
              <w:spacing w:line="360" w:lineRule="auto"/>
              <w:jc w:val="center"/>
              <w:rPr>
                <w:bCs/>
                <w:sz w:val="24"/>
                <w:highlight w:val="none"/>
              </w:rPr>
            </w:pPr>
            <w:r>
              <w:rPr>
                <w:rFonts w:hint="eastAsia"/>
                <w:bCs/>
                <w:sz w:val="24"/>
                <w:highlight w:val="none"/>
              </w:rPr>
              <w:t>支付次数</w:t>
            </w:r>
          </w:p>
        </w:tc>
        <w:tc>
          <w:tcPr>
            <w:tcW w:w="5800" w:type="dxa"/>
            <w:tcBorders>
              <w:top w:val="inset" w:color="000000" w:sz="6" w:space="0"/>
              <w:left w:val="single" w:color="auto" w:sz="0" w:space="0"/>
              <w:bottom w:val="inset" w:color="000000" w:sz="6" w:space="0"/>
              <w:right w:val="inset" w:color="000000" w:sz="6" w:space="0"/>
            </w:tcBorders>
            <w:vAlign w:val="center"/>
          </w:tcPr>
          <w:p w14:paraId="78258375">
            <w:pPr>
              <w:snapToGrid w:val="0"/>
              <w:spacing w:line="360" w:lineRule="auto"/>
              <w:jc w:val="center"/>
              <w:rPr>
                <w:bCs/>
                <w:sz w:val="24"/>
                <w:highlight w:val="none"/>
              </w:rPr>
            </w:pPr>
            <w:r>
              <w:rPr>
                <w:rFonts w:hint="eastAsia"/>
                <w:bCs/>
                <w:sz w:val="24"/>
                <w:highlight w:val="none"/>
              </w:rPr>
              <w:t>支付时间</w:t>
            </w:r>
          </w:p>
        </w:tc>
        <w:tc>
          <w:tcPr>
            <w:tcW w:w="1164" w:type="dxa"/>
            <w:tcBorders>
              <w:top w:val="inset" w:color="000000" w:sz="6" w:space="0"/>
              <w:left w:val="single" w:color="auto" w:sz="0" w:space="0"/>
              <w:bottom w:val="inset" w:color="000000" w:sz="6" w:space="0"/>
              <w:right w:val="inset" w:color="000000" w:sz="6" w:space="0"/>
            </w:tcBorders>
            <w:vAlign w:val="center"/>
          </w:tcPr>
          <w:p w14:paraId="2ED43ABD">
            <w:pPr>
              <w:snapToGrid w:val="0"/>
              <w:spacing w:line="360" w:lineRule="auto"/>
              <w:jc w:val="center"/>
              <w:rPr>
                <w:bCs/>
                <w:sz w:val="24"/>
                <w:highlight w:val="none"/>
              </w:rPr>
            </w:pPr>
            <w:r>
              <w:rPr>
                <w:rFonts w:hint="eastAsia"/>
                <w:bCs/>
                <w:sz w:val="24"/>
                <w:highlight w:val="none"/>
              </w:rPr>
              <w:t>支付比例</w:t>
            </w:r>
          </w:p>
        </w:tc>
        <w:tc>
          <w:tcPr>
            <w:tcW w:w="1166" w:type="dxa"/>
            <w:tcBorders>
              <w:top w:val="inset" w:color="000000" w:sz="6" w:space="0"/>
              <w:left w:val="single" w:color="auto" w:sz="0" w:space="0"/>
              <w:bottom w:val="inset" w:color="000000" w:sz="6" w:space="0"/>
              <w:right w:val="inset" w:color="000000" w:sz="6" w:space="0"/>
            </w:tcBorders>
            <w:vAlign w:val="center"/>
          </w:tcPr>
          <w:p w14:paraId="3D7700FB">
            <w:pPr>
              <w:snapToGrid w:val="0"/>
              <w:spacing w:line="360" w:lineRule="auto"/>
              <w:jc w:val="center"/>
              <w:rPr>
                <w:bCs/>
                <w:sz w:val="24"/>
                <w:highlight w:val="none"/>
              </w:rPr>
            </w:pPr>
            <w:r>
              <w:rPr>
                <w:rFonts w:hint="eastAsia"/>
                <w:bCs/>
                <w:sz w:val="24"/>
                <w:highlight w:val="none"/>
              </w:rPr>
              <w:t>支付金额（元）</w:t>
            </w:r>
          </w:p>
        </w:tc>
      </w:tr>
      <w:tr w14:paraId="1D377562">
        <w:trPr>
          <w:trHeight w:val="798" w:hRule="atLeast"/>
          <w:jc w:val="center"/>
        </w:trPr>
        <w:tc>
          <w:tcPr>
            <w:tcW w:w="1107" w:type="dxa"/>
            <w:tcBorders>
              <w:top w:val="inset" w:color="000000" w:sz="6" w:space="0"/>
              <w:left w:val="inset" w:color="000000" w:sz="6" w:space="0"/>
              <w:bottom w:val="inset" w:color="000000" w:sz="6" w:space="0"/>
              <w:right w:val="inset" w:color="000000" w:sz="6" w:space="0"/>
            </w:tcBorders>
            <w:vAlign w:val="center"/>
          </w:tcPr>
          <w:p w14:paraId="3392AC67">
            <w:pPr>
              <w:snapToGrid w:val="0"/>
              <w:spacing w:line="360" w:lineRule="auto"/>
              <w:jc w:val="center"/>
              <w:rPr>
                <w:bCs/>
                <w:sz w:val="24"/>
                <w:highlight w:val="none"/>
              </w:rPr>
            </w:pPr>
            <w:r>
              <w:rPr>
                <w:rFonts w:hint="eastAsia"/>
                <w:bCs/>
                <w:sz w:val="24"/>
                <w:highlight w:val="none"/>
              </w:rPr>
              <w:t>第1次</w:t>
            </w:r>
          </w:p>
        </w:tc>
        <w:tc>
          <w:tcPr>
            <w:tcW w:w="5800" w:type="dxa"/>
            <w:tcBorders>
              <w:top w:val="inset" w:color="000000" w:sz="6" w:space="0"/>
              <w:left w:val="single" w:color="auto" w:sz="0" w:space="0"/>
              <w:bottom w:val="inset" w:color="000000" w:sz="6" w:space="0"/>
              <w:right w:val="inset" w:color="000000" w:sz="6" w:space="0"/>
            </w:tcBorders>
            <w:vAlign w:val="center"/>
          </w:tcPr>
          <w:p w14:paraId="0F40B666">
            <w:pPr>
              <w:snapToGrid w:val="0"/>
              <w:spacing w:line="360" w:lineRule="auto"/>
              <w:jc w:val="center"/>
              <w:rPr>
                <w:bCs/>
                <w:sz w:val="24"/>
                <w:highlight w:val="none"/>
              </w:rPr>
            </w:pPr>
            <w:r>
              <w:rPr>
                <w:rFonts w:hint="eastAsia"/>
                <w:bCs/>
                <w:sz w:val="24"/>
                <w:highlight w:val="none"/>
              </w:rPr>
              <w:t>按季度进度支付至施工全过程工程造价控制阶段咨询服务费（按施工单位完成累计产值为计算基数）</w:t>
            </w:r>
          </w:p>
        </w:tc>
        <w:tc>
          <w:tcPr>
            <w:tcW w:w="1164" w:type="dxa"/>
            <w:tcBorders>
              <w:top w:val="inset" w:color="000000" w:sz="6" w:space="0"/>
              <w:left w:val="single" w:color="auto" w:sz="0" w:space="0"/>
              <w:bottom w:val="inset" w:color="000000" w:sz="6" w:space="0"/>
              <w:right w:val="inset" w:color="000000" w:sz="6" w:space="0"/>
            </w:tcBorders>
            <w:vAlign w:val="center"/>
          </w:tcPr>
          <w:p w14:paraId="488A850F">
            <w:pPr>
              <w:snapToGrid w:val="0"/>
              <w:spacing w:line="360" w:lineRule="auto"/>
              <w:ind w:firstLine="480" w:firstLineChars="200"/>
              <w:jc w:val="both"/>
              <w:rPr>
                <w:bCs/>
                <w:sz w:val="24"/>
                <w:highlight w:val="none"/>
              </w:rPr>
            </w:pPr>
            <w:r>
              <w:rPr>
                <w:rFonts w:hint="eastAsia"/>
                <w:bCs/>
                <w:sz w:val="24"/>
                <w:highlight w:val="none"/>
                <w:lang w:val="en-US" w:eastAsia="zh-CN"/>
              </w:rPr>
              <w:t>2</w:t>
            </w:r>
            <w:r>
              <w:rPr>
                <w:rFonts w:hint="eastAsia"/>
                <w:bCs/>
                <w:sz w:val="24"/>
                <w:highlight w:val="none"/>
              </w:rPr>
              <w:t>0%</w:t>
            </w:r>
          </w:p>
        </w:tc>
        <w:tc>
          <w:tcPr>
            <w:tcW w:w="1166" w:type="dxa"/>
            <w:tcBorders>
              <w:top w:val="inset" w:color="000000" w:sz="6" w:space="0"/>
              <w:left w:val="single" w:color="auto" w:sz="0" w:space="0"/>
              <w:bottom w:val="inset" w:color="000000" w:sz="6" w:space="0"/>
              <w:right w:val="inset" w:color="000000" w:sz="6" w:space="0"/>
            </w:tcBorders>
            <w:vAlign w:val="center"/>
          </w:tcPr>
          <w:p w14:paraId="49B246AA">
            <w:pPr>
              <w:snapToGrid w:val="0"/>
              <w:spacing w:line="360" w:lineRule="auto"/>
              <w:ind w:firstLine="480" w:firstLineChars="200"/>
              <w:jc w:val="center"/>
              <w:rPr>
                <w:bCs/>
                <w:sz w:val="24"/>
                <w:highlight w:val="none"/>
              </w:rPr>
            </w:pPr>
          </w:p>
        </w:tc>
      </w:tr>
      <w:tr w14:paraId="106F2F13">
        <w:tblPrEx>
          <w:tblCellMar>
            <w:top w:w="0" w:type="dxa"/>
            <w:left w:w="0" w:type="dxa"/>
            <w:bottom w:w="0" w:type="dxa"/>
            <w:right w:w="0" w:type="dxa"/>
          </w:tblCellMar>
        </w:tblPrEx>
        <w:trPr>
          <w:jc w:val="center"/>
        </w:trPr>
        <w:tc>
          <w:tcPr>
            <w:tcW w:w="1107" w:type="dxa"/>
            <w:tcBorders>
              <w:top w:val="inset" w:color="000000" w:sz="6" w:space="0"/>
              <w:left w:val="inset" w:color="000000" w:sz="6" w:space="0"/>
              <w:bottom w:val="inset" w:color="000000" w:sz="6" w:space="0"/>
              <w:right w:val="inset" w:color="000000" w:sz="6" w:space="0"/>
            </w:tcBorders>
            <w:vAlign w:val="center"/>
          </w:tcPr>
          <w:p w14:paraId="048A5B36">
            <w:pPr>
              <w:snapToGrid w:val="0"/>
              <w:spacing w:line="360" w:lineRule="auto"/>
              <w:jc w:val="center"/>
              <w:rPr>
                <w:bCs/>
                <w:sz w:val="24"/>
                <w:highlight w:val="none"/>
              </w:rPr>
            </w:pPr>
            <w:r>
              <w:rPr>
                <w:rFonts w:hint="eastAsia"/>
                <w:bCs/>
                <w:sz w:val="24"/>
                <w:highlight w:val="none"/>
              </w:rPr>
              <w:t>第2次</w:t>
            </w:r>
          </w:p>
        </w:tc>
        <w:tc>
          <w:tcPr>
            <w:tcW w:w="5800" w:type="dxa"/>
            <w:tcBorders>
              <w:top w:val="inset" w:color="000000" w:sz="6" w:space="0"/>
              <w:left w:val="single" w:color="auto" w:sz="0" w:space="0"/>
              <w:bottom w:val="inset" w:color="000000" w:sz="6" w:space="0"/>
              <w:right w:val="inset" w:color="000000" w:sz="6" w:space="0"/>
            </w:tcBorders>
            <w:vAlign w:val="center"/>
          </w:tcPr>
          <w:p w14:paraId="7540F66D">
            <w:pPr>
              <w:snapToGrid w:val="0"/>
              <w:spacing w:line="360" w:lineRule="auto"/>
              <w:jc w:val="center"/>
              <w:rPr>
                <w:bCs/>
                <w:sz w:val="24"/>
                <w:highlight w:val="none"/>
              </w:rPr>
            </w:pPr>
            <w:r>
              <w:rPr>
                <w:rFonts w:hint="eastAsia"/>
                <w:bCs/>
                <w:sz w:val="24"/>
                <w:highlight w:val="none"/>
              </w:rPr>
              <w:t>工程完工</w:t>
            </w:r>
            <w:r>
              <w:rPr>
                <w:rFonts w:hint="eastAsia"/>
                <w:bCs/>
                <w:sz w:val="24"/>
                <w:highlight w:val="none"/>
                <w:lang w:eastAsia="zh-CN"/>
              </w:rPr>
              <w:t>验收合格</w:t>
            </w:r>
            <w:r>
              <w:rPr>
                <w:rFonts w:hint="eastAsia"/>
                <w:bCs/>
                <w:sz w:val="24"/>
                <w:highlight w:val="none"/>
              </w:rPr>
              <w:t>后支付至施工全过程工程造价控制阶段咨询服务费（按施工单位完成产值总额为计算基数）</w:t>
            </w:r>
          </w:p>
        </w:tc>
        <w:tc>
          <w:tcPr>
            <w:tcW w:w="1164" w:type="dxa"/>
            <w:tcBorders>
              <w:top w:val="inset" w:color="000000" w:sz="6" w:space="0"/>
              <w:left w:val="single" w:color="auto" w:sz="0" w:space="0"/>
              <w:bottom w:val="inset" w:color="000000" w:sz="6" w:space="0"/>
              <w:right w:val="inset" w:color="000000" w:sz="6" w:space="0"/>
            </w:tcBorders>
            <w:vAlign w:val="center"/>
          </w:tcPr>
          <w:p w14:paraId="14A7CFE7">
            <w:pPr>
              <w:snapToGrid w:val="0"/>
              <w:spacing w:line="360" w:lineRule="auto"/>
              <w:ind w:firstLine="480" w:firstLineChars="200"/>
              <w:jc w:val="both"/>
              <w:rPr>
                <w:bCs/>
                <w:sz w:val="24"/>
                <w:highlight w:val="none"/>
              </w:rPr>
            </w:pPr>
            <w:r>
              <w:rPr>
                <w:rFonts w:hint="eastAsia"/>
                <w:bCs/>
                <w:sz w:val="24"/>
                <w:highlight w:val="none"/>
              </w:rPr>
              <w:t>80%</w:t>
            </w:r>
          </w:p>
        </w:tc>
        <w:tc>
          <w:tcPr>
            <w:tcW w:w="1166" w:type="dxa"/>
            <w:tcBorders>
              <w:top w:val="inset" w:color="000000" w:sz="6" w:space="0"/>
              <w:left w:val="single" w:color="auto" w:sz="0" w:space="0"/>
              <w:bottom w:val="inset" w:color="000000" w:sz="6" w:space="0"/>
              <w:right w:val="inset" w:color="000000" w:sz="6" w:space="0"/>
            </w:tcBorders>
            <w:vAlign w:val="center"/>
          </w:tcPr>
          <w:p w14:paraId="70EFB684">
            <w:pPr>
              <w:snapToGrid w:val="0"/>
              <w:spacing w:line="360" w:lineRule="auto"/>
              <w:ind w:firstLine="480" w:firstLineChars="200"/>
              <w:jc w:val="center"/>
              <w:rPr>
                <w:bCs/>
                <w:sz w:val="24"/>
                <w:highlight w:val="none"/>
              </w:rPr>
            </w:pPr>
          </w:p>
        </w:tc>
      </w:tr>
      <w:tr w14:paraId="65DD1CEB">
        <w:tblPrEx>
          <w:tblCellMar>
            <w:top w:w="0" w:type="dxa"/>
            <w:left w:w="0" w:type="dxa"/>
            <w:bottom w:w="0" w:type="dxa"/>
            <w:right w:w="0" w:type="dxa"/>
          </w:tblCellMar>
        </w:tblPrEx>
        <w:trPr>
          <w:trHeight w:val="571" w:hRule="atLeast"/>
          <w:jc w:val="center"/>
        </w:trPr>
        <w:tc>
          <w:tcPr>
            <w:tcW w:w="1107" w:type="dxa"/>
            <w:tcBorders>
              <w:top w:val="inset" w:color="000000" w:sz="6" w:space="0"/>
              <w:left w:val="inset" w:color="000000" w:sz="6" w:space="0"/>
              <w:bottom w:val="inset" w:color="000000" w:sz="6" w:space="0"/>
              <w:right w:val="inset" w:color="000000" w:sz="6" w:space="0"/>
            </w:tcBorders>
            <w:vAlign w:val="center"/>
          </w:tcPr>
          <w:p w14:paraId="5C4B91C8">
            <w:pPr>
              <w:snapToGrid w:val="0"/>
              <w:spacing w:line="360" w:lineRule="auto"/>
              <w:jc w:val="center"/>
              <w:rPr>
                <w:bCs/>
                <w:sz w:val="24"/>
                <w:highlight w:val="none"/>
              </w:rPr>
            </w:pPr>
            <w:r>
              <w:rPr>
                <w:rFonts w:hint="eastAsia"/>
                <w:bCs/>
                <w:sz w:val="24"/>
                <w:highlight w:val="none"/>
              </w:rPr>
              <w:t>第</w:t>
            </w:r>
            <w:r>
              <w:rPr>
                <w:rFonts w:hint="eastAsia"/>
                <w:bCs/>
                <w:sz w:val="24"/>
                <w:highlight w:val="none"/>
                <w:lang w:val="en-US" w:eastAsia="zh-CN"/>
              </w:rPr>
              <w:t>3</w:t>
            </w:r>
            <w:r>
              <w:rPr>
                <w:rFonts w:hint="eastAsia"/>
                <w:bCs/>
                <w:sz w:val="24"/>
                <w:highlight w:val="none"/>
              </w:rPr>
              <w:t>次</w:t>
            </w:r>
          </w:p>
        </w:tc>
        <w:tc>
          <w:tcPr>
            <w:tcW w:w="5800" w:type="dxa"/>
            <w:tcBorders>
              <w:top w:val="inset" w:color="000000" w:sz="6" w:space="0"/>
              <w:left w:val="single" w:color="auto" w:sz="0" w:space="0"/>
              <w:bottom w:val="inset" w:color="000000" w:sz="6" w:space="0"/>
              <w:right w:val="inset" w:color="000000" w:sz="6" w:space="0"/>
            </w:tcBorders>
            <w:vAlign w:val="center"/>
          </w:tcPr>
          <w:p w14:paraId="7F26C3A0">
            <w:pPr>
              <w:snapToGrid w:val="0"/>
              <w:spacing w:line="360" w:lineRule="auto"/>
              <w:jc w:val="center"/>
              <w:rPr>
                <w:bCs/>
                <w:sz w:val="24"/>
                <w:highlight w:val="none"/>
              </w:rPr>
            </w:pPr>
            <w:r>
              <w:rPr>
                <w:rFonts w:hint="eastAsia"/>
                <w:bCs/>
                <w:sz w:val="24"/>
                <w:highlight w:val="none"/>
              </w:rPr>
              <w:t>最终结算审核结束支付至施工全过程工程造价控制阶段咨询服务费（按</w:t>
            </w:r>
            <w:r>
              <w:rPr>
                <w:rFonts w:hint="eastAsia"/>
                <w:bCs/>
                <w:sz w:val="24"/>
                <w:highlight w:val="none"/>
                <w:lang w:eastAsia="zh-CN"/>
              </w:rPr>
              <w:t>最终审定核算</w:t>
            </w:r>
            <w:r>
              <w:rPr>
                <w:rFonts w:hint="eastAsia"/>
                <w:bCs/>
                <w:sz w:val="24"/>
                <w:highlight w:val="none"/>
              </w:rPr>
              <w:t>金额为计算基数）</w:t>
            </w:r>
          </w:p>
        </w:tc>
        <w:tc>
          <w:tcPr>
            <w:tcW w:w="1164" w:type="dxa"/>
            <w:tcBorders>
              <w:top w:val="inset" w:color="000000" w:sz="6" w:space="0"/>
              <w:left w:val="single" w:color="auto" w:sz="0" w:space="0"/>
              <w:bottom w:val="inset" w:color="000000" w:sz="6" w:space="0"/>
              <w:right w:val="inset" w:color="000000" w:sz="6" w:space="0"/>
            </w:tcBorders>
            <w:vAlign w:val="center"/>
          </w:tcPr>
          <w:p w14:paraId="605BE6D6">
            <w:pPr>
              <w:snapToGrid w:val="0"/>
              <w:spacing w:line="360" w:lineRule="auto"/>
              <w:ind w:firstLine="480" w:firstLineChars="200"/>
              <w:jc w:val="both"/>
              <w:rPr>
                <w:bCs/>
                <w:sz w:val="24"/>
                <w:highlight w:val="none"/>
              </w:rPr>
            </w:pPr>
            <w:r>
              <w:rPr>
                <w:rFonts w:hint="eastAsia"/>
                <w:bCs/>
                <w:sz w:val="24"/>
                <w:highlight w:val="none"/>
              </w:rPr>
              <w:t>100%</w:t>
            </w:r>
          </w:p>
        </w:tc>
        <w:tc>
          <w:tcPr>
            <w:tcW w:w="1166" w:type="dxa"/>
            <w:tcBorders>
              <w:top w:val="inset" w:color="000000" w:sz="6" w:space="0"/>
              <w:left w:val="single" w:color="auto" w:sz="0" w:space="0"/>
              <w:bottom w:val="inset" w:color="000000" w:sz="6" w:space="0"/>
              <w:right w:val="inset" w:color="000000" w:sz="6" w:space="0"/>
            </w:tcBorders>
            <w:vAlign w:val="center"/>
          </w:tcPr>
          <w:p w14:paraId="50B2F05E">
            <w:pPr>
              <w:snapToGrid w:val="0"/>
              <w:spacing w:line="360" w:lineRule="auto"/>
              <w:ind w:firstLine="480" w:firstLineChars="200"/>
              <w:jc w:val="center"/>
              <w:rPr>
                <w:bCs/>
                <w:sz w:val="24"/>
                <w:highlight w:val="none"/>
              </w:rPr>
            </w:pPr>
          </w:p>
        </w:tc>
      </w:tr>
    </w:tbl>
    <w:p w14:paraId="2D51774F">
      <w:pPr>
        <w:snapToGrid w:val="0"/>
        <w:spacing w:line="360" w:lineRule="auto"/>
        <w:rPr>
          <w:rFonts w:hint="eastAsia" w:ascii="宋体" w:hAnsi="宋体" w:eastAsia="宋体" w:cs="宋体"/>
          <w:bCs/>
          <w:sz w:val="24"/>
          <w:highlight w:val="none"/>
        </w:rPr>
      </w:pPr>
      <w:bookmarkStart w:id="29" w:name="_Toc3440"/>
      <w:r>
        <w:rPr>
          <w:rFonts w:hint="eastAsia" w:ascii="宋体" w:hAnsi="宋体" w:eastAsia="宋体" w:cs="宋体"/>
          <w:bCs/>
          <w:sz w:val="24"/>
          <w:highlight w:val="none"/>
          <w:lang w:val="en-US" w:eastAsia="zh-CN"/>
        </w:rPr>
        <w:t xml:space="preserve">5.4 </w:t>
      </w:r>
      <w:r>
        <w:rPr>
          <w:rFonts w:hint="eastAsia" w:ascii="宋体" w:hAnsi="宋体" w:eastAsia="宋体" w:cs="宋体"/>
          <w:bCs/>
          <w:sz w:val="24"/>
          <w:highlight w:val="none"/>
        </w:rPr>
        <w:t>承担的责任</w:t>
      </w:r>
    </w:p>
    <w:p w14:paraId="35AEEE90">
      <w:pPr>
        <w:snapToGrid w:val="0"/>
        <w:spacing w:line="360" w:lineRule="auto"/>
        <w:rPr>
          <w:bCs/>
          <w:sz w:val="24"/>
          <w:highlight w:val="none"/>
        </w:rPr>
      </w:pPr>
      <w:r>
        <w:rPr>
          <w:rFonts w:hint="eastAsia" w:ascii="宋体" w:hAnsi="宋体" w:eastAsia="宋体" w:cs="宋体"/>
          <w:bCs/>
          <w:sz w:val="24"/>
          <w:highlight w:val="none"/>
          <w:lang w:eastAsia="zh-CN"/>
        </w:rPr>
        <w:t>委托人有权</w:t>
      </w:r>
      <w:r>
        <w:rPr>
          <w:rFonts w:hint="eastAsia" w:ascii="宋体" w:hAnsi="宋体" w:eastAsia="宋体" w:cs="宋体"/>
          <w:bCs/>
          <w:sz w:val="24"/>
          <w:highlight w:val="none"/>
        </w:rPr>
        <w:t>保留进一步追究咨询人法律责任的权利。如果审计费用已经全部支付，委托人有权要求咨询人返还应扣除的审计费，咨询人不得拒绝。</w:t>
      </w:r>
    </w:p>
    <w:p w14:paraId="5A4868EB">
      <w:pPr>
        <w:spacing w:line="360" w:lineRule="auto"/>
        <w:rPr>
          <w:bCs/>
          <w:sz w:val="24"/>
          <w:highlight w:val="none"/>
        </w:rPr>
      </w:pPr>
      <w:r>
        <w:rPr>
          <w:rFonts w:hint="eastAsia"/>
          <w:bCs/>
          <w:sz w:val="24"/>
          <w:highlight w:val="none"/>
        </w:rPr>
        <w:t>6. 合同变更、解除与终止</w:t>
      </w:r>
      <w:bookmarkEnd w:id="29"/>
    </w:p>
    <w:p w14:paraId="7CE1117D">
      <w:pPr>
        <w:spacing w:line="360" w:lineRule="auto"/>
        <w:rPr>
          <w:bCs/>
          <w:sz w:val="24"/>
          <w:highlight w:val="none"/>
        </w:rPr>
      </w:pPr>
      <w:bookmarkStart w:id="30" w:name="_Toc17714"/>
      <w:r>
        <w:rPr>
          <w:rFonts w:hint="eastAsia"/>
          <w:bCs/>
          <w:sz w:val="24"/>
          <w:highlight w:val="none"/>
        </w:rPr>
        <w:t>6.1 合同变更</w:t>
      </w:r>
      <w:bookmarkEnd w:id="30"/>
    </w:p>
    <w:p w14:paraId="39B21A8E">
      <w:pPr>
        <w:snapToGrid w:val="0"/>
        <w:spacing w:line="360" w:lineRule="auto"/>
        <w:ind w:firstLine="480" w:firstLineChars="200"/>
        <w:rPr>
          <w:bCs/>
          <w:sz w:val="24"/>
          <w:highlight w:val="none"/>
        </w:rPr>
      </w:pPr>
      <w:bookmarkStart w:id="31" w:name="_Toc3079"/>
      <w:r>
        <w:rPr>
          <w:rFonts w:hint="eastAsia"/>
          <w:bCs/>
          <w:sz w:val="24"/>
          <w:highlight w:val="none"/>
        </w:rPr>
        <w:t>6.1.2 除不可抗力外，因非咨询人原因导致本合同履行期限延长、内容增加时，附加工作酬金按下列方法确定：</w:t>
      </w:r>
      <w:r>
        <w:rPr>
          <w:rFonts w:hint="eastAsia"/>
          <w:bCs/>
          <w:sz w:val="24"/>
          <w:highlight w:val="none"/>
          <w:u w:val="single"/>
        </w:rPr>
        <w:t xml:space="preserve"> 不因工期调整而增加费用 </w:t>
      </w:r>
      <w:r>
        <w:rPr>
          <w:rFonts w:hint="eastAsia"/>
          <w:bCs/>
          <w:sz w:val="24"/>
          <w:highlight w:val="none"/>
        </w:rPr>
        <w:t>。</w:t>
      </w:r>
    </w:p>
    <w:p w14:paraId="67830B10">
      <w:pPr>
        <w:snapToGrid w:val="0"/>
        <w:spacing w:line="360" w:lineRule="auto"/>
        <w:ind w:firstLine="480" w:firstLineChars="200"/>
        <w:rPr>
          <w:bCs/>
          <w:sz w:val="24"/>
          <w:highlight w:val="none"/>
        </w:rPr>
      </w:pPr>
      <w:r>
        <w:rPr>
          <w:rFonts w:hint="eastAsia"/>
          <w:bCs/>
          <w:sz w:val="24"/>
          <w:highlight w:val="none"/>
        </w:rPr>
        <w:t>6.1.4 因工程规模、服务范围及内容的变化等导致咨询人的工作量增减时，服务酬金的调整方法：</w:t>
      </w:r>
      <w:r>
        <w:rPr>
          <w:rFonts w:hint="eastAsia"/>
          <w:bCs/>
          <w:sz w:val="24"/>
          <w:highlight w:val="none"/>
          <w:u w:val="single"/>
        </w:rPr>
        <w:t>咨询服务酬金</w:t>
      </w:r>
      <w:r>
        <w:rPr>
          <w:rFonts w:hint="eastAsia"/>
          <w:bCs/>
          <w:sz w:val="24"/>
          <w:highlight w:val="none"/>
          <w:u w:val="single"/>
          <w:lang w:val="en-US"/>
        </w:rPr>
        <w:t>按结算金额</w:t>
      </w:r>
      <w:r>
        <w:rPr>
          <w:rFonts w:hint="eastAsia"/>
          <w:bCs/>
          <w:sz w:val="24"/>
          <w:highlight w:val="none"/>
          <w:u w:val="single"/>
        </w:rPr>
        <w:t>调整</w:t>
      </w:r>
      <w:r>
        <w:rPr>
          <w:rFonts w:hint="eastAsia"/>
          <w:bCs/>
          <w:sz w:val="24"/>
          <w:highlight w:val="none"/>
        </w:rPr>
        <w:t>。</w:t>
      </w:r>
    </w:p>
    <w:p w14:paraId="0481DFCD">
      <w:pPr>
        <w:spacing w:line="360" w:lineRule="auto"/>
        <w:rPr>
          <w:bCs/>
          <w:sz w:val="24"/>
          <w:highlight w:val="none"/>
        </w:rPr>
      </w:pPr>
      <w:r>
        <w:rPr>
          <w:rFonts w:hint="eastAsia"/>
          <w:bCs/>
          <w:sz w:val="24"/>
          <w:highlight w:val="none"/>
        </w:rPr>
        <w:t>6.2 合同解除</w:t>
      </w:r>
      <w:bookmarkEnd w:id="31"/>
    </w:p>
    <w:p w14:paraId="4EBF3EAF">
      <w:pPr>
        <w:snapToGrid w:val="0"/>
        <w:spacing w:line="360" w:lineRule="auto"/>
        <w:ind w:firstLine="480" w:firstLineChars="200"/>
        <w:rPr>
          <w:bCs/>
          <w:sz w:val="24"/>
          <w:highlight w:val="none"/>
          <w:u w:val="single"/>
          <w:lang w:val="en-US"/>
        </w:rPr>
      </w:pPr>
      <w:r>
        <w:rPr>
          <w:rFonts w:hint="eastAsia"/>
          <w:bCs/>
          <w:sz w:val="24"/>
          <w:highlight w:val="none"/>
          <w:u w:val="single"/>
          <w:lang w:val="en-US"/>
        </w:rPr>
        <w:t xml:space="preserve">                                                          </w:t>
      </w:r>
    </w:p>
    <w:p w14:paraId="473D077B">
      <w:pPr>
        <w:snapToGrid w:val="0"/>
        <w:spacing w:line="360" w:lineRule="auto"/>
        <w:ind w:firstLine="480" w:firstLineChars="200"/>
        <w:rPr>
          <w:bCs/>
          <w:sz w:val="24"/>
          <w:highlight w:val="none"/>
        </w:rPr>
      </w:pPr>
      <w:r>
        <w:rPr>
          <w:rFonts w:hint="eastAsia"/>
          <w:bCs/>
          <w:sz w:val="24"/>
          <w:highlight w:val="none"/>
        </w:rPr>
        <w:t>因不可抗力导致的合同解除，双方约定损失的分担如下：</w:t>
      </w:r>
      <w:r>
        <w:rPr>
          <w:rFonts w:hint="eastAsia"/>
          <w:bCs/>
          <w:sz w:val="24"/>
          <w:highlight w:val="none"/>
          <w:u w:val="single"/>
        </w:rPr>
        <w:t xml:space="preserve">  /   </w:t>
      </w:r>
      <w:r>
        <w:rPr>
          <w:rFonts w:hint="eastAsia"/>
          <w:bCs/>
          <w:sz w:val="24"/>
          <w:highlight w:val="none"/>
        </w:rPr>
        <w:t>。</w:t>
      </w:r>
    </w:p>
    <w:p w14:paraId="0979A6F2">
      <w:pPr>
        <w:spacing w:line="360" w:lineRule="auto"/>
        <w:rPr>
          <w:bCs/>
          <w:sz w:val="24"/>
          <w:highlight w:val="none"/>
        </w:rPr>
      </w:pPr>
      <w:bookmarkStart w:id="32" w:name="_Toc32653"/>
      <w:r>
        <w:rPr>
          <w:rFonts w:hint="eastAsia"/>
          <w:bCs/>
          <w:sz w:val="24"/>
          <w:highlight w:val="none"/>
        </w:rPr>
        <w:t>7 仲裁或诉讼</w:t>
      </w:r>
      <w:bookmarkEnd w:id="32"/>
    </w:p>
    <w:p w14:paraId="0168642B">
      <w:pPr>
        <w:snapToGrid w:val="0"/>
        <w:spacing w:line="360" w:lineRule="auto"/>
        <w:ind w:firstLine="480" w:firstLineChars="200"/>
        <w:rPr>
          <w:bCs/>
          <w:sz w:val="24"/>
          <w:highlight w:val="none"/>
        </w:rPr>
      </w:pPr>
      <w:r>
        <w:rPr>
          <w:rFonts w:hint="eastAsia"/>
          <w:bCs/>
          <w:sz w:val="24"/>
          <w:highlight w:val="none"/>
        </w:rPr>
        <w:t>合同争议的最终解决方式为下列第</w:t>
      </w:r>
      <w:r>
        <w:rPr>
          <w:rFonts w:hint="eastAsia"/>
          <w:bCs/>
          <w:sz w:val="24"/>
          <w:highlight w:val="none"/>
          <w:u w:val="single"/>
        </w:rPr>
        <w:t xml:space="preserve">  (2)  </w:t>
      </w:r>
      <w:r>
        <w:rPr>
          <w:rFonts w:hint="eastAsia"/>
          <w:bCs/>
          <w:sz w:val="24"/>
          <w:highlight w:val="none"/>
        </w:rPr>
        <w:t>种方式：</w:t>
      </w:r>
    </w:p>
    <w:p w14:paraId="0AE51BC3">
      <w:pPr>
        <w:snapToGrid w:val="0"/>
        <w:spacing w:line="360" w:lineRule="auto"/>
        <w:ind w:firstLine="480" w:firstLineChars="200"/>
        <w:rPr>
          <w:bCs/>
          <w:sz w:val="24"/>
          <w:highlight w:val="none"/>
        </w:rPr>
      </w:pPr>
      <w:r>
        <w:rPr>
          <w:rFonts w:hint="eastAsia"/>
          <w:bCs/>
          <w:sz w:val="24"/>
          <w:highlight w:val="none"/>
        </w:rPr>
        <w:t>（1）提请仲裁委员会进行仲裁。</w:t>
      </w:r>
    </w:p>
    <w:p w14:paraId="4F990F2E">
      <w:pPr>
        <w:snapToGrid w:val="0"/>
        <w:spacing w:line="360" w:lineRule="auto"/>
        <w:ind w:firstLine="480" w:firstLineChars="200"/>
        <w:rPr>
          <w:bCs/>
          <w:sz w:val="24"/>
          <w:highlight w:val="none"/>
        </w:rPr>
      </w:pPr>
      <w:r>
        <w:rPr>
          <w:rFonts w:hint="eastAsia"/>
          <w:bCs/>
          <w:sz w:val="24"/>
          <w:highlight w:val="none"/>
        </w:rPr>
        <w:t>（2）向甲方所在地人民法院提起诉讼。</w:t>
      </w:r>
    </w:p>
    <w:p w14:paraId="0402BC0B">
      <w:pPr>
        <w:spacing w:line="360" w:lineRule="auto"/>
        <w:rPr>
          <w:bCs/>
          <w:sz w:val="24"/>
          <w:highlight w:val="none"/>
        </w:rPr>
      </w:pPr>
      <w:bookmarkStart w:id="33" w:name="_Toc25051"/>
      <w:r>
        <w:rPr>
          <w:rFonts w:hint="eastAsia"/>
          <w:bCs/>
          <w:sz w:val="24"/>
          <w:highlight w:val="none"/>
        </w:rPr>
        <w:t>8. 其他</w:t>
      </w:r>
      <w:bookmarkEnd w:id="33"/>
    </w:p>
    <w:p w14:paraId="233155F5">
      <w:pPr>
        <w:spacing w:line="360" w:lineRule="auto"/>
        <w:rPr>
          <w:bCs/>
          <w:sz w:val="24"/>
          <w:highlight w:val="none"/>
        </w:rPr>
      </w:pPr>
      <w:bookmarkStart w:id="34" w:name="_Toc24950"/>
      <w:r>
        <w:rPr>
          <w:rFonts w:hint="eastAsia"/>
          <w:bCs/>
          <w:sz w:val="24"/>
          <w:highlight w:val="none"/>
        </w:rPr>
        <w:t>8.</w:t>
      </w:r>
      <w:r>
        <w:rPr>
          <w:rFonts w:hint="eastAsia"/>
          <w:bCs/>
          <w:sz w:val="24"/>
          <w:highlight w:val="none"/>
          <w:lang w:val="en-US"/>
        </w:rPr>
        <w:t>1</w:t>
      </w:r>
      <w:r>
        <w:rPr>
          <w:rFonts w:hint="eastAsia"/>
          <w:bCs/>
          <w:sz w:val="24"/>
          <w:highlight w:val="none"/>
        </w:rPr>
        <w:t xml:space="preserve"> 保密</w:t>
      </w:r>
      <w:bookmarkEnd w:id="34"/>
    </w:p>
    <w:p w14:paraId="050BD818">
      <w:pPr>
        <w:snapToGrid w:val="0"/>
        <w:spacing w:line="360" w:lineRule="auto"/>
        <w:ind w:firstLine="480" w:firstLineChars="200"/>
        <w:rPr>
          <w:bCs/>
          <w:sz w:val="24"/>
          <w:highlight w:val="none"/>
        </w:rPr>
      </w:pPr>
      <w:r>
        <w:rPr>
          <w:rFonts w:hint="eastAsia"/>
          <w:bCs/>
          <w:sz w:val="24"/>
          <w:highlight w:val="none"/>
        </w:rPr>
        <w:t>咨询人申明的保密事项和期限：</w:t>
      </w:r>
      <w:r>
        <w:rPr>
          <w:rFonts w:hint="eastAsia"/>
          <w:bCs/>
          <w:sz w:val="24"/>
          <w:highlight w:val="none"/>
          <w:u w:val="single"/>
        </w:rPr>
        <w:t>咨询人对本项目造价咨询的所有成果，即施工图预算、跟踪审计资料、初审报告等，承担保密义务。咨询人对从本项工作业务中，由委托人提供或咨询人查询知晓的有关资料、信息，均为委托人的商业秘密，咨询人对其有保密义务，未经委托人书面同意或法律规定所必须，不得以任何理由和任何方式转交给任何第三方，否则，咨询人承担侵害委托人商业秘密的责任，并承担服务酬金100%的违约金。</w:t>
      </w:r>
    </w:p>
    <w:p w14:paraId="75DDEED8">
      <w:pPr>
        <w:spacing w:line="360" w:lineRule="auto"/>
        <w:rPr>
          <w:bCs/>
          <w:sz w:val="24"/>
          <w:highlight w:val="none"/>
        </w:rPr>
      </w:pPr>
      <w:bookmarkStart w:id="35" w:name="_Toc20829"/>
      <w:r>
        <w:rPr>
          <w:rFonts w:hint="eastAsia"/>
          <w:bCs/>
          <w:sz w:val="24"/>
          <w:highlight w:val="none"/>
        </w:rPr>
        <w:t>8.</w:t>
      </w:r>
      <w:r>
        <w:rPr>
          <w:rFonts w:hint="eastAsia"/>
          <w:bCs/>
          <w:sz w:val="24"/>
          <w:highlight w:val="none"/>
          <w:lang w:val="en-US"/>
        </w:rPr>
        <w:t>2</w:t>
      </w:r>
      <w:r>
        <w:rPr>
          <w:rFonts w:hint="eastAsia"/>
          <w:bCs/>
          <w:sz w:val="24"/>
          <w:highlight w:val="none"/>
        </w:rPr>
        <w:t xml:space="preserve"> 联络</w:t>
      </w:r>
      <w:bookmarkEnd w:id="35"/>
    </w:p>
    <w:p w14:paraId="4FEEFDC3">
      <w:pPr>
        <w:snapToGrid w:val="0"/>
        <w:spacing w:line="360" w:lineRule="auto"/>
        <w:ind w:firstLine="480" w:firstLineChars="200"/>
        <w:rPr>
          <w:bCs/>
          <w:sz w:val="24"/>
          <w:highlight w:val="none"/>
        </w:rPr>
      </w:pPr>
      <w:r>
        <w:rPr>
          <w:rFonts w:hint="eastAsia"/>
          <w:bCs/>
          <w:sz w:val="24"/>
          <w:highlight w:val="none"/>
        </w:rPr>
        <w:t>8.</w:t>
      </w:r>
      <w:r>
        <w:rPr>
          <w:rFonts w:hint="eastAsia"/>
          <w:bCs/>
          <w:sz w:val="24"/>
          <w:highlight w:val="none"/>
          <w:lang w:val="en-US"/>
        </w:rPr>
        <w:t>2</w:t>
      </w:r>
      <w:r>
        <w:rPr>
          <w:rFonts w:hint="eastAsia"/>
          <w:bCs/>
          <w:sz w:val="24"/>
          <w:highlight w:val="none"/>
        </w:rPr>
        <w:t>.1 任何一方与合同有关的通知、指示、要求、决定等，均应在</w:t>
      </w:r>
      <w:r>
        <w:rPr>
          <w:rFonts w:hint="eastAsia"/>
          <w:bCs/>
          <w:sz w:val="24"/>
          <w:highlight w:val="none"/>
          <w:u w:val="single"/>
        </w:rPr>
        <w:t xml:space="preserve">      </w:t>
      </w:r>
      <w:r>
        <w:rPr>
          <w:rFonts w:hint="eastAsia"/>
          <w:bCs/>
          <w:sz w:val="24"/>
          <w:highlight w:val="none"/>
        </w:rPr>
        <w:t>日内送达对方指定的接收人和送达地点。</w:t>
      </w:r>
    </w:p>
    <w:p w14:paraId="2E708DA9">
      <w:pPr>
        <w:snapToGrid w:val="0"/>
        <w:spacing w:line="360" w:lineRule="auto"/>
        <w:ind w:firstLine="480" w:firstLineChars="200"/>
        <w:rPr>
          <w:bCs/>
          <w:sz w:val="24"/>
          <w:highlight w:val="none"/>
        </w:rPr>
      </w:pPr>
      <w:r>
        <w:rPr>
          <w:rFonts w:hint="eastAsia"/>
          <w:bCs/>
          <w:sz w:val="24"/>
          <w:highlight w:val="none"/>
        </w:rPr>
        <w:t>8.</w:t>
      </w:r>
      <w:r>
        <w:rPr>
          <w:rFonts w:hint="eastAsia"/>
          <w:bCs/>
          <w:sz w:val="24"/>
          <w:highlight w:val="none"/>
          <w:lang w:val="en-US"/>
        </w:rPr>
        <w:t>2</w:t>
      </w:r>
      <w:r>
        <w:rPr>
          <w:rFonts w:hint="eastAsia"/>
          <w:bCs/>
          <w:sz w:val="24"/>
          <w:highlight w:val="none"/>
        </w:rPr>
        <w:t>.2 委托人指定的送达接收人：</w:t>
      </w:r>
      <w:r>
        <w:rPr>
          <w:rFonts w:hint="eastAsia"/>
          <w:bCs/>
          <w:sz w:val="24"/>
          <w:highlight w:val="none"/>
          <w:u w:val="single"/>
        </w:rPr>
        <w:t xml:space="preserve">           </w:t>
      </w:r>
      <w:r>
        <w:rPr>
          <w:rFonts w:hint="eastAsia"/>
          <w:bCs/>
          <w:sz w:val="24"/>
          <w:highlight w:val="none"/>
        </w:rPr>
        <w:t>，送达地点：</w:t>
      </w:r>
      <w:r>
        <w:rPr>
          <w:rFonts w:hint="eastAsia"/>
          <w:bCs/>
          <w:sz w:val="24"/>
          <w:highlight w:val="none"/>
          <w:u w:val="single"/>
        </w:rPr>
        <w:t xml:space="preserve">           </w:t>
      </w:r>
      <w:r>
        <w:rPr>
          <w:rFonts w:hint="eastAsia"/>
          <w:bCs/>
          <w:sz w:val="24"/>
          <w:highlight w:val="none"/>
        </w:rPr>
        <w:t>；咨询人指定的送达接收人：</w:t>
      </w:r>
      <w:r>
        <w:rPr>
          <w:rFonts w:hint="eastAsia"/>
          <w:bCs/>
          <w:sz w:val="24"/>
          <w:highlight w:val="none"/>
          <w:u w:val="single"/>
        </w:rPr>
        <w:t xml:space="preserve">     </w:t>
      </w:r>
      <w:r>
        <w:rPr>
          <w:rFonts w:hint="eastAsia"/>
          <w:bCs/>
          <w:sz w:val="24"/>
          <w:highlight w:val="none"/>
        </w:rPr>
        <w:t>，送达地点：</w:t>
      </w:r>
      <w:r>
        <w:rPr>
          <w:rFonts w:hint="eastAsia"/>
          <w:bCs/>
          <w:sz w:val="24"/>
          <w:highlight w:val="none"/>
          <w:u w:val="single"/>
        </w:rPr>
        <w:t xml:space="preserve">       </w:t>
      </w:r>
      <w:r>
        <w:rPr>
          <w:rFonts w:hint="eastAsia"/>
          <w:bCs/>
          <w:sz w:val="24"/>
          <w:highlight w:val="none"/>
        </w:rPr>
        <w:t>。</w:t>
      </w:r>
    </w:p>
    <w:p w14:paraId="04EBB862">
      <w:pPr>
        <w:spacing w:line="360" w:lineRule="auto"/>
        <w:rPr>
          <w:bCs/>
          <w:sz w:val="24"/>
          <w:highlight w:val="none"/>
        </w:rPr>
      </w:pPr>
      <w:bookmarkStart w:id="36" w:name="_Toc29444"/>
      <w:r>
        <w:rPr>
          <w:rFonts w:hint="eastAsia"/>
          <w:bCs/>
          <w:sz w:val="24"/>
          <w:highlight w:val="none"/>
        </w:rPr>
        <w:t>8.</w:t>
      </w:r>
      <w:r>
        <w:rPr>
          <w:rFonts w:hint="eastAsia"/>
          <w:bCs/>
          <w:sz w:val="24"/>
          <w:highlight w:val="none"/>
          <w:lang w:val="en-US"/>
        </w:rPr>
        <w:t>3</w:t>
      </w:r>
      <w:r>
        <w:rPr>
          <w:rFonts w:hint="eastAsia"/>
          <w:bCs/>
          <w:sz w:val="24"/>
          <w:highlight w:val="none"/>
        </w:rPr>
        <w:t xml:space="preserve"> 知识产权</w:t>
      </w:r>
      <w:bookmarkEnd w:id="36"/>
    </w:p>
    <w:p w14:paraId="0B0EE5C9">
      <w:pPr>
        <w:snapToGrid w:val="0"/>
        <w:spacing w:line="360" w:lineRule="auto"/>
        <w:ind w:firstLine="480" w:firstLineChars="200"/>
        <w:rPr>
          <w:bCs/>
          <w:sz w:val="24"/>
          <w:highlight w:val="none"/>
        </w:rPr>
      </w:pPr>
      <w:r>
        <w:rPr>
          <w:rFonts w:hint="eastAsia"/>
          <w:bCs/>
          <w:sz w:val="24"/>
          <w:highlight w:val="none"/>
        </w:rPr>
        <w:t>委托人提供给咨询人的图纸、委托人为实施工程自行编制或委托编制的技术规范以及反映委托人要求的或其他类似性质文件的著作权属于</w:t>
      </w:r>
      <w:r>
        <w:rPr>
          <w:rFonts w:hint="eastAsia"/>
          <w:bCs/>
          <w:sz w:val="24"/>
          <w:highlight w:val="none"/>
          <w:u w:val="single"/>
        </w:rPr>
        <w:t xml:space="preserve"> 委托人 </w:t>
      </w:r>
      <w:r>
        <w:rPr>
          <w:rFonts w:hint="eastAsia"/>
          <w:bCs/>
          <w:sz w:val="24"/>
          <w:highlight w:val="none"/>
        </w:rPr>
        <w:t>。</w:t>
      </w:r>
    </w:p>
    <w:p w14:paraId="3AD63061">
      <w:pPr>
        <w:snapToGrid w:val="0"/>
        <w:spacing w:line="360" w:lineRule="auto"/>
        <w:ind w:firstLine="480" w:firstLineChars="200"/>
        <w:rPr>
          <w:bCs/>
          <w:sz w:val="24"/>
          <w:highlight w:val="none"/>
        </w:rPr>
      </w:pPr>
      <w:r>
        <w:rPr>
          <w:rFonts w:hint="eastAsia"/>
          <w:bCs/>
          <w:sz w:val="24"/>
          <w:highlight w:val="none"/>
        </w:rPr>
        <w:t>咨询人为履行本合同约定而编制的成果文件，其著作权属于</w:t>
      </w:r>
      <w:r>
        <w:rPr>
          <w:rFonts w:hint="eastAsia"/>
          <w:bCs/>
          <w:sz w:val="24"/>
          <w:highlight w:val="none"/>
          <w:u w:val="single"/>
        </w:rPr>
        <w:t xml:space="preserve"> 委托人 </w:t>
      </w:r>
      <w:r>
        <w:rPr>
          <w:rFonts w:hint="eastAsia"/>
          <w:bCs/>
          <w:sz w:val="24"/>
          <w:highlight w:val="none"/>
        </w:rPr>
        <w:t>。</w:t>
      </w:r>
    </w:p>
    <w:p w14:paraId="00599CF8">
      <w:pPr>
        <w:snapToGrid w:val="0"/>
        <w:spacing w:line="360" w:lineRule="auto"/>
        <w:rPr>
          <w:bCs/>
          <w:sz w:val="24"/>
          <w:highlight w:val="none"/>
        </w:rPr>
      </w:pPr>
      <w:r>
        <w:rPr>
          <w:rFonts w:hint="eastAsia"/>
          <w:bCs/>
          <w:sz w:val="24"/>
          <w:highlight w:val="none"/>
        </w:rPr>
        <w:t>双方将履行本合同形成的有关成果文件用于企业宣传、申报奖项以及接受上级主管部门的检查须遵守以下约定：</w:t>
      </w:r>
      <w:r>
        <w:rPr>
          <w:rFonts w:hint="eastAsia"/>
          <w:bCs/>
          <w:sz w:val="24"/>
          <w:highlight w:val="none"/>
          <w:u w:val="single"/>
        </w:rPr>
        <w:t xml:space="preserve"> 必须经委托人同意 </w:t>
      </w:r>
      <w:r>
        <w:rPr>
          <w:rFonts w:hint="eastAsia"/>
          <w:bCs/>
          <w:sz w:val="24"/>
          <w:highlight w:val="none"/>
        </w:rPr>
        <w:t>。</w:t>
      </w:r>
    </w:p>
    <w:p w14:paraId="24F9CC91">
      <w:pPr>
        <w:snapToGrid w:val="0"/>
        <w:spacing w:line="360" w:lineRule="auto"/>
        <w:ind w:firstLine="480" w:firstLineChars="200"/>
        <w:rPr>
          <w:bCs/>
          <w:sz w:val="24"/>
          <w:highlight w:val="none"/>
        </w:rPr>
      </w:pPr>
      <w:bookmarkStart w:id="37" w:name="_Toc16107"/>
      <w:r>
        <w:rPr>
          <w:rFonts w:hint="eastAsia"/>
          <w:bCs/>
          <w:sz w:val="24"/>
          <w:highlight w:val="none"/>
        </w:rPr>
        <w:t>9.补充条款</w:t>
      </w:r>
      <w:bookmarkEnd w:id="37"/>
    </w:p>
    <w:p w14:paraId="523FBC40">
      <w:pPr>
        <w:snapToGrid w:val="0"/>
        <w:spacing w:line="360" w:lineRule="auto"/>
        <w:ind w:firstLine="480" w:firstLineChars="200"/>
        <w:rPr>
          <w:rFonts w:hint="eastAsia" w:ascii="宋体" w:hAnsi="宋体" w:eastAsia="宋体" w:cs="宋体"/>
          <w:bCs/>
          <w:sz w:val="24"/>
          <w:highlight w:val="none"/>
        </w:rPr>
      </w:pPr>
      <w:r>
        <w:rPr>
          <w:rFonts w:hint="eastAsia"/>
          <w:bCs/>
          <w:sz w:val="24"/>
          <w:highlight w:val="none"/>
          <w:lang w:val="en-US"/>
        </w:rPr>
        <w:t>9.</w:t>
      </w:r>
      <w:r>
        <w:rPr>
          <w:bCs/>
          <w:sz w:val="24"/>
          <w:highlight w:val="none"/>
        </w:rPr>
        <w:t>1</w:t>
      </w:r>
      <w:r>
        <w:rPr>
          <w:rFonts w:hint="eastAsia"/>
          <w:bCs/>
          <w:sz w:val="24"/>
          <w:highlight w:val="none"/>
        </w:rPr>
        <w:t>、因咨询人失职等原因给委托人</w:t>
      </w:r>
      <w:r>
        <w:rPr>
          <w:rFonts w:hint="eastAsia" w:ascii="宋体" w:hAnsi="宋体" w:eastAsia="宋体" w:cs="宋体"/>
          <w:bCs/>
          <w:sz w:val="24"/>
          <w:highlight w:val="none"/>
        </w:rPr>
        <w:t>造成实际发生经济损失，在责任范围内由咨询人向委托人予以补偿。</w:t>
      </w:r>
    </w:p>
    <w:p w14:paraId="6C9169C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rPr>
        <w:t>9.</w:t>
      </w:r>
      <w:r>
        <w:rPr>
          <w:rFonts w:hint="eastAsia" w:ascii="宋体" w:hAnsi="宋体" w:eastAsia="宋体" w:cs="宋体"/>
          <w:bCs/>
          <w:sz w:val="24"/>
          <w:highlight w:val="none"/>
        </w:rPr>
        <w:t>2、项目负责人每个月驻现场工作时间不少于 22 天，其它人员每个月驻现场工作时间不少于 22 天，并接受委托人的日考勤制度和离开请假制度，否则，将被视为咨询人违约，委托人按项目负责人 2000 元/天，其它人员 500 元/天的违约处罚。项目咨询团队人员的休假应根据工程施工进展情况合理安排， 除特殊原因外，项目咨询团队人员的休假必须事先经委托人书面同意，未经许可离岗，每发生一次处以 500 元违约金，不足半天的，按半天计算；超过半天不足一天的，按一天计算。</w:t>
      </w:r>
    </w:p>
    <w:p w14:paraId="38AC82A3">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9.3 </w:t>
      </w:r>
      <w:r>
        <w:rPr>
          <w:rFonts w:hint="eastAsia" w:ascii="宋体" w:hAnsi="宋体" w:eastAsia="宋体" w:cs="宋体"/>
          <w:bCs/>
          <w:sz w:val="24"/>
          <w:highlight w:val="none"/>
        </w:rPr>
        <w:t>咨询人必须严格遵守操作规程和职业操守，如发现咨询人在工作中有与施工方串通、收受施工方好处、接受施工吃请或其他违规行为的，委托人将视情节轻重要求咨询人支付</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000-</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0000元的违约金。</w:t>
      </w:r>
    </w:p>
    <w:p w14:paraId="5E03A68B">
      <w:pPr>
        <w:snapToGrid w:val="0"/>
        <w:spacing w:line="360" w:lineRule="auto"/>
        <w:ind w:firstLine="480" w:firstLineChars="200"/>
        <w:rPr>
          <w:bCs/>
          <w:sz w:val="24"/>
          <w:highlight w:val="none"/>
          <w:u w:val="single"/>
        </w:rPr>
      </w:pPr>
      <w:r>
        <w:rPr>
          <w:rFonts w:hint="eastAsia"/>
          <w:bCs/>
          <w:sz w:val="24"/>
          <w:highlight w:val="none"/>
          <w:lang w:val="en-US"/>
        </w:rPr>
        <w:t>9.</w:t>
      </w:r>
      <w:r>
        <w:rPr>
          <w:rFonts w:hint="eastAsia"/>
          <w:bCs/>
          <w:sz w:val="24"/>
          <w:highlight w:val="none"/>
          <w:lang w:val="en-US" w:eastAsia="zh-CN"/>
        </w:rPr>
        <w:t>4</w:t>
      </w:r>
      <w:r>
        <w:rPr>
          <w:rFonts w:hint="eastAsia"/>
          <w:bCs/>
          <w:sz w:val="24"/>
          <w:highlight w:val="none"/>
          <w:lang w:val="en-US"/>
        </w:rPr>
        <w:t>.</w:t>
      </w:r>
      <w:r>
        <w:rPr>
          <w:rFonts w:hint="eastAsia"/>
          <w:bCs/>
          <w:sz w:val="24"/>
          <w:highlight w:val="none"/>
          <w:u w:val="single"/>
        </w:rPr>
        <w:t>咨询人结算审定金额（C1）不得超过二审核定金额（C2）的3%，即为</w:t>
      </w:r>
    </w:p>
    <w:p w14:paraId="6F44E6DA">
      <w:pPr>
        <w:snapToGrid w:val="0"/>
        <w:spacing w:line="360" w:lineRule="auto"/>
        <w:ind w:firstLine="480" w:firstLineChars="200"/>
        <w:rPr>
          <w:bCs/>
          <w:sz w:val="24"/>
          <w:u w:val="single"/>
        </w:rPr>
      </w:pPr>
      <w:r>
        <w:rPr>
          <w:rFonts w:hint="eastAsia"/>
          <w:bCs/>
          <w:sz w:val="24"/>
          <w:highlight w:val="none"/>
          <w:u w:val="single"/>
        </w:rPr>
        <w:t>k=（C1-C2）/C2，k≤3%；若k超过3%，咨询人应按照合同咨询服务</w:t>
      </w:r>
      <w:r>
        <w:rPr>
          <w:rFonts w:hint="eastAsia"/>
          <w:bCs/>
          <w:sz w:val="24"/>
          <w:u w:val="single"/>
        </w:rPr>
        <w:t>费的</w:t>
      </w:r>
      <w:r>
        <w:rPr>
          <w:rFonts w:hint="eastAsia"/>
          <w:bCs/>
          <w:sz w:val="24"/>
          <w:u w:val="single"/>
          <w:lang w:val="en-US"/>
        </w:rPr>
        <w:t>10</w:t>
      </w:r>
      <w:r>
        <w:rPr>
          <w:rFonts w:hint="eastAsia"/>
          <w:bCs/>
          <w:sz w:val="24"/>
          <w:u w:val="single"/>
        </w:rPr>
        <w:t>%向委托人支付违约金；若k超过</w:t>
      </w:r>
      <w:r>
        <w:rPr>
          <w:rFonts w:hint="eastAsia"/>
          <w:bCs/>
          <w:sz w:val="24"/>
          <w:u w:val="single"/>
          <w:lang w:val="en-US"/>
        </w:rPr>
        <w:t>5</w:t>
      </w:r>
      <w:r>
        <w:rPr>
          <w:rFonts w:hint="eastAsia"/>
          <w:bCs/>
          <w:sz w:val="24"/>
          <w:u w:val="single"/>
        </w:rPr>
        <w:t>%，咨询人应按照合同咨询服务费的</w:t>
      </w:r>
      <w:r>
        <w:rPr>
          <w:rFonts w:hint="eastAsia"/>
          <w:bCs/>
          <w:sz w:val="24"/>
          <w:u w:val="single"/>
          <w:lang w:val="en-US"/>
        </w:rPr>
        <w:t>2</w:t>
      </w:r>
      <w:r>
        <w:rPr>
          <w:rFonts w:hint="eastAsia"/>
          <w:bCs/>
          <w:sz w:val="24"/>
          <w:u w:val="single"/>
        </w:rPr>
        <w:t>0%向委托人支付违约金；若k超过10%，咨询人应按照合同咨询服务费的50%向委托人支付违约金。</w:t>
      </w:r>
    </w:p>
    <w:p w14:paraId="435FB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D27A">
    <w:pPr>
      <w:jc w:val="right"/>
      <w:rPr>
        <w:rFonts w:ascii="仿宋_GB2312" w:eastAsia="仿宋_GB2312"/>
        <w:b/>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45F357">
                          <w:pPr>
                            <w:pStyle w:val="6"/>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DCwDh/vAEAAHsDAAAOAAAAAAAAAAEAIAAAAB8BAABkcnMvZTJvRG9jLnhtbFBLBQYAAAAA&#10;BgAGAFkBAABNBQAAAAA=&#10;">
              <v:fill on="f" focussize="0,0"/>
              <v:stroke on="f"/>
              <v:imagedata o:title=""/>
              <o:lock v:ext="edit" aspectratio="f"/>
              <v:textbox inset="0mm,0mm,0mm,0mm" style="mso-fit-shape-to-text:t;">
                <w:txbxContent>
                  <w:p w14:paraId="4C45F357">
                    <w:pPr>
                      <w:pStyle w:val="6"/>
                    </w:pPr>
                    <w:r>
                      <w:fldChar w:fldCharType="begin"/>
                    </w:r>
                    <w:r>
                      <w:instrText xml:space="preserve"> PAGE  \* MERGEFORMAT </w:instrText>
                    </w:r>
                    <w:r>
                      <w:fldChar w:fldCharType="separate"/>
                    </w:r>
                    <w:r>
                      <w:t>4</w:t>
                    </w:r>
                    <w:r>
                      <w:fldChar w:fldCharType="end"/>
                    </w:r>
                  </w:p>
                </w:txbxContent>
              </v:textbox>
            </v:rect>
          </w:pict>
        </mc:Fallback>
      </mc:AlternateContent>
    </w:r>
    <w:r>
      <w:rPr>
        <w:rFonts w:hint="eastAsia"/>
      </w:rPr>
      <w:t xml:space="preserve">                                                    </w:t>
    </w:r>
    <w:r>
      <w:rPr>
        <w:rFonts w:hint="eastAsia" w:ascii="仿宋_GB2312" w:eastAsia="仿宋_GB2312"/>
        <w:b/>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077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pPr>
        <w:ind w:left="0" w:firstLine="28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86FBB"/>
    <w:rsid w:val="6048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10"/>
    <w:qFormat/>
    <w:uiPriority w:val="1"/>
    <w:pPr>
      <w:spacing w:line="542" w:lineRule="exact"/>
      <w:ind w:right="34"/>
      <w:jc w:val="center"/>
      <w:outlineLvl w:val="0"/>
    </w:pPr>
    <w:rPr>
      <w:rFonts w:ascii="微软雅黑" w:hAnsi="微软雅黑" w:eastAsia="微软雅黑" w:cs="微软雅黑"/>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Block Text"/>
    <w:basedOn w:val="1"/>
    <w:qFormat/>
    <w:uiPriority w:val="0"/>
    <w:pPr>
      <w:adjustRightInd w:val="0"/>
      <w:spacing w:line="500" w:lineRule="exact"/>
      <w:ind w:left="391" w:right="246"/>
    </w:pPr>
    <w:rPr>
      <w:rFonts w:ascii="仿宋_GB2312" w:eastAsia="仿宋_GB2312"/>
      <w:sz w:val="24"/>
    </w:rPr>
  </w:style>
  <w:style w:type="paragraph" w:styleId="5">
    <w:name w:val="Plain Text"/>
    <w:basedOn w:val="1"/>
    <w:qFormat/>
    <w:uiPriority w:val="99"/>
    <w:rPr>
      <w:rFonts w:hAnsi="Courier New"/>
      <w:szCs w:val="2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标题 1 字符"/>
    <w:link w:val="2"/>
    <w:qFormat/>
    <w:uiPriority w:val="0"/>
    <w:rPr>
      <w:rFonts w:ascii="微软雅黑" w:hAnsi="微软雅黑" w:eastAsia="微软雅黑" w:cs="微软雅黑"/>
      <w:b/>
      <w:bCs/>
      <w:sz w:val="32"/>
      <w:szCs w:val="32"/>
    </w:rPr>
  </w:style>
  <w:style w:type="paragraph" w:styleId="11">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4428</Words>
  <Characters>4653</Characters>
  <Lines>0</Lines>
  <Paragraphs>0</Paragraphs>
  <TotalTime>0</TotalTime>
  <ScaleCrop>false</ScaleCrop>
  <LinksUpToDate>false</LinksUpToDate>
  <CharactersWithSpaces>5356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2025-10-22T06:14:00Z</dcterms:created>
  <dc:creator>H</dc:creator>
  <cp:lastModifiedBy>H</cp:lastModifiedBy>
  <dcterms:modified xsi:type="dcterms:W3CDTF">2025-10-22T06:14:30Z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13232A6B81524378B3EDF22AC5BA37BB_11</vt:lpwstr>
  </property>
  <property fmtid="{D5CDD505-2E9C-101B-9397-08002B2CF9AE}" pid="4" name="KSOTemplateDocerSaveRecord">
    <vt:lpwstr>eyJoZGlkIjoiZDY2N2M0YWJhYWY5NDc5MzU2M2Q0ZDU4ZTBkMzMxNWQiLCJ1c2VySWQiOiI3MTE0MTYwMDcifQ==</vt:lpwstr>
  </property>
</Properties>
</file>