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49F1E">
      <w:pPr>
        <w:pStyle w:val="3"/>
        <w:tabs>
          <w:tab w:val="left" w:pos="1286"/>
        </w:tabs>
        <w:snapToGrid w:val="0"/>
        <w:spacing w:before="21" w:line="240" w:lineRule="auto"/>
        <w:jc w:val="left"/>
        <w:textAlignment w:val="baseline"/>
        <w:rPr>
          <w:rFonts w:hint="default" w:ascii="黑体" w:hAnsi="黑体" w:eastAsia="黑体" w:cs="黑体"/>
          <w:color w:val="auto"/>
          <w:sz w:val="28"/>
          <w:szCs w:val="28"/>
          <w:highlight w:val="none"/>
          <w:lang w:val="en-US" w:eastAsia="zh-CN"/>
        </w:rPr>
      </w:pPr>
      <w:bookmarkStart w:id="2" w:name="_GoBack"/>
      <w:bookmarkStart w:id="0" w:name="_Toc20081"/>
      <w:r>
        <w:rPr>
          <w:rFonts w:hint="eastAsia" w:ascii="黑体" w:hAnsi="黑体" w:eastAsia="黑体" w:cs="黑体"/>
          <w:color w:val="auto"/>
          <w:sz w:val="28"/>
          <w:szCs w:val="28"/>
          <w:highlight w:val="none"/>
          <w:lang w:val="en-US" w:eastAsia="zh-CN"/>
        </w:rPr>
        <w:t>附件3</w:t>
      </w:r>
    </w:p>
    <w:p w14:paraId="729BE3F2">
      <w:pPr>
        <w:pStyle w:val="3"/>
        <w:tabs>
          <w:tab w:val="left" w:pos="1286"/>
        </w:tabs>
        <w:snapToGrid w:val="0"/>
        <w:spacing w:before="21" w:line="240" w:lineRule="auto"/>
        <w:textAlignment w:val="baseline"/>
        <w:rPr>
          <w:rFonts w:hint="eastAsia"/>
          <w:b/>
          <w:color w:val="auto"/>
          <w:sz w:val="36"/>
          <w:szCs w:val="36"/>
          <w:highlight w:val="red"/>
          <w:lang w:val="en-US"/>
        </w:rPr>
      </w:pPr>
      <w:r>
        <w:rPr>
          <w:rFonts w:hint="eastAsia" w:ascii="黑体" w:hAnsi="黑体" w:eastAsia="黑体" w:cs="黑体"/>
          <w:color w:val="auto"/>
          <w:sz w:val="44"/>
          <w:szCs w:val="44"/>
          <w:highlight w:val="none"/>
        </w:rPr>
        <w:t>评标办法</w:t>
      </w:r>
      <w:bookmarkEnd w:id="0"/>
      <w:bookmarkStart w:id="1" w:name="_Toc11870"/>
    </w:p>
    <w:bookmarkEnd w:id="2"/>
    <w:p w14:paraId="25C835A9">
      <w:pPr>
        <w:snapToGrid w:val="0"/>
        <w:spacing w:line="460" w:lineRule="exact"/>
        <w:ind w:firstLine="482" w:firstLineChars="200"/>
        <w:jc w:val="both"/>
        <w:textAlignment w:val="baseline"/>
        <w:rPr>
          <w:b/>
          <w:color w:val="auto"/>
          <w:sz w:val="24"/>
          <w:szCs w:val="24"/>
          <w:highlight w:val="none"/>
          <w:lang w:val="en-US"/>
        </w:rPr>
      </w:pPr>
      <w:r>
        <w:rPr>
          <w:rFonts w:hint="eastAsia"/>
          <w:b/>
          <w:color w:val="auto"/>
          <w:sz w:val="24"/>
          <w:szCs w:val="24"/>
          <w:highlight w:val="none"/>
          <w:lang w:val="en-US"/>
        </w:rPr>
        <w:t>1.资格评审标准</w:t>
      </w:r>
      <w:bookmarkEnd w:id="1"/>
    </w:p>
    <w:p w14:paraId="7719C645">
      <w:pPr>
        <w:pStyle w:val="4"/>
        <w:snapToGrid w:val="0"/>
        <w:spacing w:line="460" w:lineRule="exact"/>
        <w:ind w:firstLine="448" w:firstLineChars="200"/>
        <w:jc w:val="both"/>
        <w:textAlignment w:val="baseline"/>
        <w:rPr>
          <w:color w:val="auto"/>
          <w:sz w:val="24"/>
          <w:szCs w:val="24"/>
          <w:highlight w:val="none"/>
        </w:rPr>
      </w:pPr>
      <w:r>
        <w:rPr>
          <w:rFonts w:hint="eastAsia"/>
          <w:color w:val="auto"/>
          <w:spacing w:val="-8"/>
          <w:sz w:val="24"/>
          <w:szCs w:val="24"/>
          <w:highlight w:val="none"/>
        </w:rPr>
        <w:t>本项目采取资格后审合格/不合格制</w:t>
      </w:r>
      <w:r>
        <w:rPr>
          <w:rFonts w:hint="eastAsia"/>
          <w:color w:val="auto"/>
          <w:sz w:val="24"/>
          <w:szCs w:val="24"/>
          <w:highlight w:val="none"/>
        </w:rPr>
        <w:t>。投标人提供的全部资料必须准确详细，以便本项目评标委员会做到正确判断。资格后审将完全依据投标人提供的资料，或者按评委要求对所投标文件的澄清材料。如果没按要求在投标文件中提供具体材料，如有一项认为不合格，报评标委员会审定后，可直接判定投标人资格不合格，其投标文件不予评审。</w:t>
      </w:r>
    </w:p>
    <w:p w14:paraId="76E4248A">
      <w:pPr>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资格后审合格条件标准</w:t>
      </w: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6995"/>
        <w:gridCol w:w="1140"/>
      </w:tblGrid>
      <w:tr w14:paraId="30B4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00" w:type="dxa"/>
            <w:gridSpan w:val="3"/>
            <w:vAlign w:val="center"/>
          </w:tcPr>
          <w:p w14:paraId="74630286">
            <w:pPr>
              <w:pStyle w:val="7"/>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一、资格审查</w:t>
            </w:r>
          </w:p>
        </w:tc>
      </w:tr>
      <w:tr w14:paraId="1397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66ACA50C">
            <w:pPr>
              <w:pStyle w:val="7"/>
              <w:snapToGrid w:val="0"/>
              <w:spacing w:line="460" w:lineRule="exact"/>
              <w:jc w:val="center"/>
              <w:textAlignment w:val="baseline"/>
              <w:rPr>
                <w:b/>
                <w:color w:val="auto"/>
                <w:sz w:val="24"/>
                <w:szCs w:val="24"/>
                <w:highlight w:val="none"/>
              </w:rPr>
            </w:pPr>
            <w:r>
              <w:rPr>
                <w:rFonts w:hint="eastAsia"/>
                <w:b/>
                <w:color w:val="auto"/>
                <w:sz w:val="24"/>
                <w:szCs w:val="24"/>
                <w:highlight w:val="none"/>
              </w:rPr>
              <w:t>序号</w:t>
            </w:r>
          </w:p>
        </w:tc>
        <w:tc>
          <w:tcPr>
            <w:tcW w:w="6995" w:type="dxa"/>
            <w:vAlign w:val="center"/>
          </w:tcPr>
          <w:p w14:paraId="359662FD">
            <w:pPr>
              <w:pStyle w:val="7"/>
              <w:snapToGrid w:val="0"/>
              <w:spacing w:line="460" w:lineRule="exact"/>
              <w:jc w:val="both"/>
              <w:textAlignment w:val="baseline"/>
              <w:rPr>
                <w:b/>
                <w:color w:val="auto"/>
                <w:sz w:val="24"/>
                <w:szCs w:val="24"/>
                <w:highlight w:val="none"/>
              </w:rPr>
            </w:pPr>
            <w:r>
              <w:rPr>
                <w:rFonts w:hint="eastAsia"/>
                <w:b/>
                <w:color w:val="auto"/>
                <w:sz w:val="24"/>
                <w:szCs w:val="24"/>
                <w:highlight w:val="none"/>
              </w:rPr>
              <w:t>招标文件要求</w:t>
            </w:r>
          </w:p>
        </w:tc>
        <w:tc>
          <w:tcPr>
            <w:tcW w:w="1140" w:type="dxa"/>
            <w:vAlign w:val="center"/>
          </w:tcPr>
          <w:p w14:paraId="1AA4B20D">
            <w:pPr>
              <w:pStyle w:val="7"/>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说明</w:t>
            </w:r>
          </w:p>
        </w:tc>
      </w:tr>
      <w:tr w14:paraId="1DD9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3E5AEF05">
            <w:pPr>
              <w:pStyle w:val="7"/>
              <w:snapToGrid w:val="0"/>
              <w:spacing w:line="460" w:lineRule="exact"/>
              <w:ind w:firstLine="480" w:firstLineChars="200"/>
              <w:jc w:val="both"/>
              <w:textAlignment w:val="baseline"/>
              <w:rPr>
                <w:color w:val="auto"/>
                <w:sz w:val="24"/>
                <w:szCs w:val="24"/>
                <w:highlight w:val="none"/>
              </w:rPr>
            </w:pPr>
            <w:r>
              <w:rPr>
                <w:rFonts w:hint="eastAsia"/>
                <w:color w:val="auto"/>
                <w:sz w:val="24"/>
                <w:szCs w:val="24"/>
                <w:highlight w:val="none"/>
              </w:rPr>
              <w:t>1</w:t>
            </w:r>
          </w:p>
        </w:tc>
        <w:tc>
          <w:tcPr>
            <w:tcW w:w="6995" w:type="dxa"/>
          </w:tcPr>
          <w:p w14:paraId="4A4005C0">
            <w:pPr>
              <w:pStyle w:val="8"/>
              <w:snapToGrid w:val="0"/>
              <w:spacing w:line="460" w:lineRule="exact"/>
              <w:ind w:left="0" w:firstLine="0"/>
              <w:jc w:val="both"/>
              <w:textAlignment w:val="baseline"/>
              <w:rPr>
                <w:color w:val="auto"/>
                <w:sz w:val="24"/>
                <w:szCs w:val="24"/>
                <w:highlight w:val="yellow"/>
              </w:rPr>
            </w:pPr>
            <w:r>
              <w:rPr>
                <w:rFonts w:hint="eastAsia"/>
                <w:color w:val="auto"/>
                <w:sz w:val="24"/>
                <w:szCs w:val="24"/>
                <w:highlight w:val="none"/>
                <w:u w:val="none"/>
              </w:rPr>
              <w:t>投标人必须是在中华人民共和国境内注册</w:t>
            </w:r>
            <w:r>
              <w:rPr>
                <w:rFonts w:hint="eastAsia"/>
                <w:color w:val="auto"/>
                <w:sz w:val="24"/>
                <w:szCs w:val="24"/>
                <w:highlight w:val="none"/>
                <w:u w:val="none"/>
                <w:lang w:eastAsia="zh-CN"/>
              </w:rPr>
              <w:t>，</w:t>
            </w:r>
            <w:r>
              <w:rPr>
                <w:rFonts w:hint="eastAsia"/>
                <w:color w:val="auto"/>
                <w:sz w:val="24"/>
                <w:szCs w:val="24"/>
                <w:highlight w:val="none"/>
                <w:u w:val="none"/>
              </w:rPr>
              <w:t>具有独立法人资格的合法企业，能独立承担民事责任，具有从事本项目的经营范围和能力，提供有效的企业营业执照复印件加盖公章</w:t>
            </w:r>
          </w:p>
        </w:tc>
        <w:tc>
          <w:tcPr>
            <w:tcW w:w="1140" w:type="dxa"/>
            <w:vMerge w:val="restart"/>
            <w:vAlign w:val="center"/>
          </w:tcPr>
          <w:p w14:paraId="1A8359C1">
            <w:pPr>
              <w:pStyle w:val="7"/>
              <w:snapToGrid w:val="0"/>
              <w:spacing w:line="460" w:lineRule="exact"/>
              <w:jc w:val="both"/>
              <w:textAlignment w:val="baseline"/>
              <w:rPr>
                <w:color w:val="auto"/>
                <w:sz w:val="24"/>
                <w:szCs w:val="24"/>
                <w:highlight w:val="none"/>
              </w:rPr>
            </w:pPr>
            <w:r>
              <w:rPr>
                <w:rFonts w:hint="eastAsia"/>
                <w:color w:val="auto"/>
                <w:sz w:val="24"/>
                <w:szCs w:val="24"/>
                <w:highlight w:val="none"/>
              </w:rPr>
              <w:t>提供扫描件，凡有一条不符合招标要求的，其投标文件将被否决。</w:t>
            </w:r>
          </w:p>
          <w:p w14:paraId="34DBCCF3">
            <w:pPr>
              <w:pStyle w:val="7"/>
              <w:snapToGrid w:val="0"/>
              <w:spacing w:line="460" w:lineRule="exact"/>
              <w:ind w:firstLine="480" w:firstLineChars="200"/>
              <w:jc w:val="both"/>
              <w:textAlignment w:val="baseline"/>
              <w:rPr>
                <w:color w:val="auto"/>
                <w:sz w:val="24"/>
                <w:szCs w:val="24"/>
                <w:highlight w:val="none"/>
              </w:rPr>
            </w:pPr>
          </w:p>
        </w:tc>
      </w:tr>
      <w:tr w14:paraId="5EDC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1C1221DD">
            <w:pPr>
              <w:pStyle w:val="7"/>
              <w:snapToGrid w:val="0"/>
              <w:spacing w:line="460" w:lineRule="exact"/>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2</w:t>
            </w:r>
          </w:p>
        </w:tc>
        <w:tc>
          <w:tcPr>
            <w:tcW w:w="6995" w:type="dxa"/>
          </w:tcPr>
          <w:p w14:paraId="4B589FD7">
            <w:pPr>
              <w:pStyle w:val="8"/>
              <w:snapToGrid w:val="0"/>
              <w:spacing w:line="460" w:lineRule="exact"/>
              <w:ind w:left="0" w:firstLine="0"/>
              <w:jc w:val="both"/>
              <w:textAlignment w:val="baseline"/>
              <w:rPr>
                <w:color w:val="auto"/>
                <w:sz w:val="24"/>
                <w:szCs w:val="24"/>
                <w:highlight w:val="yellow"/>
              </w:rPr>
            </w:pPr>
            <w:r>
              <w:rPr>
                <w:rFonts w:hint="eastAsia"/>
                <w:color w:val="auto"/>
                <w:sz w:val="24"/>
                <w:szCs w:val="24"/>
                <w:highlight w:val="none"/>
                <w:u w:val="none"/>
                <w:lang w:val="en-US" w:eastAsia="zh-CN"/>
              </w:rPr>
              <w:t>投标人须提供近三年一项已完成类似文创产品供货业绩，提供合同或中标通知书；</w:t>
            </w:r>
          </w:p>
        </w:tc>
        <w:tc>
          <w:tcPr>
            <w:tcW w:w="1140" w:type="dxa"/>
            <w:vMerge w:val="continue"/>
          </w:tcPr>
          <w:p w14:paraId="4394325A">
            <w:pPr>
              <w:pStyle w:val="7"/>
              <w:snapToGrid w:val="0"/>
              <w:spacing w:line="460" w:lineRule="exact"/>
              <w:ind w:firstLine="482" w:firstLineChars="200"/>
              <w:jc w:val="both"/>
              <w:textAlignment w:val="baseline"/>
              <w:rPr>
                <w:b/>
                <w:color w:val="auto"/>
                <w:sz w:val="24"/>
                <w:szCs w:val="24"/>
                <w:highlight w:val="none"/>
              </w:rPr>
            </w:pPr>
          </w:p>
        </w:tc>
      </w:tr>
      <w:tr w14:paraId="0266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6435FF69">
            <w:pPr>
              <w:pStyle w:val="7"/>
              <w:snapToGrid w:val="0"/>
              <w:spacing w:line="460" w:lineRule="exact"/>
              <w:jc w:val="center"/>
              <w:textAlignment w:val="baseline"/>
              <w:rPr>
                <w:color w:val="auto"/>
                <w:sz w:val="24"/>
                <w:szCs w:val="24"/>
                <w:highlight w:val="none"/>
                <w:lang w:val="en-US"/>
              </w:rPr>
            </w:pPr>
            <w:r>
              <w:rPr>
                <w:rFonts w:hint="eastAsia"/>
                <w:color w:val="auto"/>
                <w:sz w:val="24"/>
                <w:szCs w:val="24"/>
                <w:highlight w:val="none"/>
                <w:lang w:val="en-US"/>
              </w:rPr>
              <w:t>3</w:t>
            </w:r>
          </w:p>
        </w:tc>
        <w:tc>
          <w:tcPr>
            <w:tcW w:w="6995" w:type="dxa"/>
          </w:tcPr>
          <w:p w14:paraId="538CEFF1">
            <w:pPr>
              <w:pStyle w:val="7"/>
              <w:snapToGrid w:val="0"/>
              <w:spacing w:line="460" w:lineRule="exact"/>
              <w:jc w:val="both"/>
              <w:textAlignment w:val="baseline"/>
              <w:rPr>
                <w:color w:val="auto"/>
                <w:sz w:val="24"/>
                <w:szCs w:val="24"/>
                <w:highlight w:val="yellow"/>
              </w:rPr>
            </w:pPr>
            <w:r>
              <w:rPr>
                <w:rFonts w:hint="eastAsia"/>
                <w:color w:val="auto"/>
                <w:sz w:val="24"/>
                <w:szCs w:val="24"/>
                <w:highlight w:val="none"/>
                <w:lang w:val="en-US"/>
              </w:rPr>
              <w:t>根据《关于在招标投标活动中对失信被执行人实施联合惩戒的通知》</w:t>
            </w:r>
            <w:r>
              <w:rPr>
                <w:rFonts w:hint="eastAsia"/>
                <w:color w:val="auto"/>
                <w:sz w:val="24"/>
                <w:szCs w:val="24"/>
                <w:highlight w:val="none"/>
                <w:lang w:val="en-US" w:eastAsia="zh-CN"/>
              </w:rPr>
              <w:t>（〔2016〕</w:t>
            </w:r>
            <w:r>
              <w:rPr>
                <w:rFonts w:hint="eastAsia"/>
                <w:color w:val="auto"/>
                <w:sz w:val="24"/>
                <w:szCs w:val="24"/>
                <w:highlight w:val="none"/>
                <w:lang w:val="en-US"/>
              </w:rPr>
              <w:t>285 号</w:t>
            </w:r>
            <w:r>
              <w:rPr>
                <w:rFonts w:hint="eastAsia"/>
                <w:color w:val="auto"/>
                <w:sz w:val="24"/>
                <w:szCs w:val="24"/>
                <w:highlight w:val="none"/>
                <w:lang w:val="en-US" w:eastAsia="zh-CN"/>
              </w:rPr>
              <w:t>）</w:t>
            </w:r>
            <w:r>
              <w:rPr>
                <w:rFonts w:hint="eastAsia"/>
                <w:color w:val="auto"/>
                <w:sz w:val="24"/>
                <w:szCs w:val="24"/>
                <w:highlight w:val="none"/>
                <w:lang w:val="en-US"/>
              </w:rPr>
              <w:t>规定，投标人须通过“信用中国”</w:t>
            </w:r>
            <w:r>
              <w:rPr>
                <w:rFonts w:hint="eastAsia"/>
                <w:color w:val="auto"/>
                <w:sz w:val="24"/>
                <w:szCs w:val="24"/>
                <w:highlight w:val="none"/>
                <w:lang w:val="en-US" w:eastAsia="zh-CN"/>
              </w:rPr>
              <w:t>（</w:t>
            </w:r>
            <w:r>
              <w:rPr>
                <w:rFonts w:hint="eastAsia"/>
                <w:color w:val="auto"/>
                <w:sz w:val="24"/>
                <w:szCs w:val="24"/>
                <w:highlight w:val="none"/>
                <w:lang w:val="en-US"/>
              </w:rPr>
              <w:t>网址 www.creditchina.gov.cn</w:t>
            </w:r>
            <w:r>
              <w:rPr>
                <w:rFonts w:hint="eastAsia"/>
                <w:color w:val="auto"/>
                <w:sz w:val="24"/>
                <w:szCs w:val="24"/>
                <w:highlight w:val="none"/>
                <w:lang w:val="en-US" w:eastAsia="zh-CN"/>
              </w:rPr>
              <w:t>）</w:t>
            </w:r>
            <w:r>
              <w:rPr>
                <w:rFonts w:hint="eastAsia"/>
                <w:color w:val="auto"/>
                <w:sz w:val="24"/>
                <w:szCs w:val="24"/>
                <w:highlight w:val="none"/>
                <w:lang w:val="en-US"/>
              </w:rPr>
              <w:t>对本企业进行信用查询，若在“失信被执行人”名单中的，其投标无效，查询结果以当天在“信用中国”网站查询结果为准。</w:t>
            </w:r>
          </w:p>
        </w:tc>
        <w:tc>
          <w:tcPr>
            <w:tcW w:w="1140" w:type="dxa"/>
            <w:vMerge w:val="continue"/>
          </w:tcPr>
          <w:p w14:paraId="06467947">
            <w:pPr>
              <w:pStyle w:val="7"/>
              <w:snapToGrid w:val="0"/>
              <w:spacing w:line="460" w:lineRule="exact"/>
              <w:ind w:firstLine="480" w:firstLineChars="200"/>
              <w:jc w:val="both"/>
              <w:textAlignment w:val="baseline"/>
              <w:rPr>
                <w:color w:val="auto"/>
                <w:sz w:val="24"/>
                <w:szCs w:val="24"/>
                <w:highlight w:val="none"/>
              </w:rPr>
            </w:pPr>
          </w:p>
        </w:tc>
      </w:tr>
      <w:tr w14:paraId="0732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24B52985">
            <w:pPr>
              <w:pStyle w:val="7"/>
              <w:snapToGrid w:val="0"/>
              <w:spacing w:line="460" w:lineRule="exact"/>
              <w:jc w:val="center"/>
              <w:textAlignment w:val="baseline"/>
              <w:rPr>
                <w:color w:val="auto"/>
                <w:sz w:val="24"/>
                <w:szCs w:val="24"/>
                <w:highlight w:val="none"/>
                <w:lang w:val="en-US"/>
              </w:rPr>
            </w:pPr>
            <w:r>
              <w:rPr>
                <w:rFonts w:hint="eastAsia"/>
                <w:color w:val="auto"/>
                <w:sz w:val="24"/>
                <w:szCs w:val="24"/>
                <w:highlight w:val="none"/>
                <w:lang w:val="en-US"/>
              </w:rPr>
              <w:t>4</w:t>
            </w:r>
          </w:p>
        </w:tc>
        <w:tc>
          <w:tcPr>
            <w:tcW w:w="6995" w:type="dxa"/>
          </w:tcPr>
          <w:p w14:paraId="48F614CA">
            <w:pPr>
              <w:pStyle w:val="7"/>
              <w:snapToGrid w:val="0"/>
              <w:spacing w:line="460" w:lineRule="exact"/>
              <w:jc w:val="both"/>
              <w:textAlignment w:val="baseline"/>
              <w:rPr>
                <w:color w:val="auto"/>
                <w:sz w:val="24"/>
                <w:szCs w:val="24"/>
                <w:highlight w:val="yellow"/>
                <w:lang w:val="en-US"/>
              </w:rPr>
            </w:pPr>
            <w:r>
              <w:rPr>
                <w:rFonts w:hint="eastAsia"/>
                <w:color w:val="auto"/>
                <w:sz w:val="24"/>
                <w:szCs w:val="24"/>
                <w:highlight w:val="none"/>
              </w:rPr>
              <w:t>投标人必须在</w:t>
            </w:r>
            <w:r>
              <w:rPr>
                <w:rFonts w:hint="eastAsia"/>
                <w:color w:val="auto"/>
                <w:sz w:val="24"/>
                <w:szCs w:val="24"/>
                <w:highlight w:val="none"/>
                <w:lang w:val="en-US"/>
              </w:rPr>
              <w:t>“</w:t>
            </w:r>
            <w:r>
              <w:rPr>
                <w:rFonts w:hint="eastAsia"/>
                <w:color w:val="auto"/>
                <w:sz w:val="24"/>
                <w:szCs w:val="24"/>
                <w:highlight w:val="none"/>
              </w:rPr>
              <w:t>中国裁判文书网</w:t>
            </w:r>
            <w:r>
              <w:rPr>
                <w:rFonts w:hint="eastAsia"/>
                <w:color w:val="auto"/>
                <w:sz w:val="24"/>
                <w:szCs w:val="24"/>
                <w:highlight w:val="none"/>
                <w:lang w:val="en-US"/>
              </w:rPr>
              <w:t>”（https://wenshu.court.gov.cn</w:t>
            </w:r>
            <w:r>
              <w:rPr>
                <w:rFonts w:hint="eastAsia"/>
                <w:color w:val="auto"/>
                <w:sz w:val="24"/>
                <w:szCs w:val="24"/>
                <w:highlight w:val="none"/>
                <w:lang w:val="en-US" w:eastAsia="zh-CN"/>
              </w:rPr>
              <w:t>）</w:t>
            </w:r>
            <w:r>
              <w:rPr>
                <w:rFonts w:hint="eastAsia"/>
                <w:color w:val="auto"/>
                <w:sz w:val="24"/>
                <w:szCs w:val="24"/>
                <w:highlight w:val="none"/>
              </w:rPr>
              <w:t>查询本单位及法定代表人近三年</w:t>
            </w:r>
            <w:r>
              <w:rPr>
                <w:rFonts w:hint="eastAsia"/>
                <w:color w:val="auto"/>
                <w:sz w:val="24"/>
                <w:szCs w:val="24"/>
                <w:highlight w:val="none"/>
                <w:lang w:eastAsia="zh-CN"/>
              </w:rPr>
              <w:t>（</w:t>
            </w:r>
            <w:r>
              <w:rPr>
                <w:rFonts w:hint="eastAsia"/>
                <w:color w:val="auto"/>
                <w:sz w:val="24"/>
                <w:szCs w:val="24"/>
                <w:highlight w:val="none"/>
              </w:rPr>
              <w:t>查询时间段</w:t>
            </w:r>
            <w:r>
              <w:rPr>
                <w:rFonts w:hint="eastAsia"/>
                <w:color w:val="auto"/>
                <w:sz w:val="24"/>
                <w:szCs w:val="24"/>
                <w:highlight w:val="none"/>
                <w:lang w:val="en-US"/>
              </w:rPr>
              <w:t>20</w:t>
            </w:r>
            <w:r>
              <w:rPr>
                <w:rFonts w:hint="eastAsia"/>
                <w:color w:val="auto"/>
                <w:sz w:val="24"/>
                <w:szCs w:val="24"/>
                <w:highlight w:val="none"/>
                <w:lang w:val="en-US" w:eastAsia="zh-CN"/>
              </w:rPr>
              <w:t>22</w:t>
            </w:r>
            <w:r>
              <w:rPr>
                <w:rFonts w:hint="eastAsia"/>
                <w:color w:val="auto"/>
                <w:sz w:val="24"/>
                <w:szCs w:val="24"/>
                <w:highlight w:val="none"/>
              </w:rPr>
              <w:t>年</w:t>
            </w:r>
            <w:r>
              <w:rPr>
                <w:rFonts w:hint="eastAsia"/>
                <w:color w:val="auto"/>
                <w:sz w:val="24"/>
                <w:szCs w:val="24"/>
                <w:highlight w:val="none"/>
                <w:lang w:val="en-US"/>
              </w:rPr>
              <w:t>1月</w:t>
            </w:r>
            <w:r>
              <w:rPr>
                <w:rFonts w:hint="eastAsia"/>
                <w:color w:val="auto"/>
                <w:sz w:val="24"/>
                <w:szCs w:val="24"/>
                <w:highlight w:val="none"/>
              </w:rPr>
              <w:t>至投标截止日</w:t>
            </w:r>
            <w:r>
              <w:rPr>
                <w:rFonts w:hint="eastAsia"/>
                <w:color w:val="auto"/>
                <w:sz w:val="24"/>
                <w:szCs w:val="24"/>
                <w:highlight w:val="none"/>
                <w:lang w:eastAsia="zh-CN"/>
              </w:rPr>
              <w:t>）</w:t>
            </w:r>
            <w:r>
              <w:rPr>
                <w:rFonts w:hint="eastAsia"/>
                <w:color w:val="auto"/>
                <w:sz w:val="24"/>
                <w:szCs w:val="24"/>
                <w:highlight w:val="none"/>
              </w:rPr>
              <w:t>是否有行贿犯罪记录并提供截图</w:t>
            </w:r>
            <w:r>
              <w:rPr>
                <w:rFonts w:hint="eastAsia"/>
                <w:color w:val="auto"/>
                <w:sz w:val="24"/>
                <w:szCs w:val="24"/>
                <w:highlight w:val="none"/>
                <w:lang w:val="en-US"/>
              </w:rPr>
              <w:t>，</w:t>
            </w:r>
            <w:r>
              <w:rPr>
                <w:rFonts w:hint="eastAsia"/>
                <w:color w:val="auto"/>
                <w:sz w:val="24"/>
                <w:szCs w:val="24"/>
                <w:highlight w:val="none"/>
              </w:rPr>
              <w:t>未提供的或有行贿犯罪记录的投标无效</w:t>
            </w:r>
            <w:r>
              <w:rPr>
                <w:rFonts w:hint="eastAsia"/>
                <w:color w:val="auto"/>
                <w:sz w:val="24"/>
                <w:szCs w:val="24"/>
                <w:highlight w:val="none"/>
                <w:lang w:val="en-US"/>
              </w:rPr>
              <w:t>，</w:t>
            </w:r>
            <w:r>
              <w:rPr>
                <w:rFonts w:hint="eastAsia"/>
                <w:color w:val="auto"/>
                <w:sz w:val="24"/>
                <w:szCs w:val="24"/>
                <w:highlight w:val="none"/>
              </w:rPr>
              <w:t>取消其投标资格。</w:t>
            </w:r>
          </w:p>
        </w:tc>
        <w:tc>
          <w:tcPr>
            <w:tcW w:w="1140" w:type="dxa"/>
            <w:vMerge w:val="continue"/>
          </w:tcPr>
          <w:p w14:paraId="4745DAE1">
            <w:pPr>
              <w:pStyle w:val="7"/>
              <w:snapToGrid w:val="0"/>
              <w:spacing w:line="460" w:lineRule="exact"/>
              <w:ind w:firstLine="480" w:firstLineChars="200"/>
              <w:jc w:val="both"/>
              <w:textAlignment w:val="baseline"/>
              <w:rPr>
                <w:color w:val="auto"/>
                <w:sz w:val="24"/>
                <w:szCs w:val="24"/>
                <w:highlight w:val="none"/>
                <w:lang w:val="en-US"/>
              </w:rPr>
            </w:pPr>
          </w:p>
        </w:tc>
      </w:tr>
      <w:tr w14:paraId="2AED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613662F1">
            <w:pPr>
              <w:pStyle w:val="7"/>
              <w:snapToGrid w:val="0"/>
              <w:spacing w:line="460" w:lineRule="exact"/>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5</w:t>
            </w:r>
          </w:p>
        </w:tc>
        <w:tc>
          <w:tcPr>
            <w:tcW w:w="6995" w:type="dxa"/>
          </w:tcPr>
          <w:p w14:paraId="19D16AD9">
            <w:pPr>
              <w:pStyle w:val="7"/>
              <w:snapToGrid w:val="0"/>
              <w:spacing w:line="460" w:lineRule="exact"/>
              <w:jc w:val="both"/>
              <w:textAlignment w:val="baseline"/>
              <w:rPr>
                <w:color w:val="auto"/>
                <w:sz w:val="24"/>
                <w:szCs w:val="24"/>
                <w:highlight w:val="none"/>
              </w:rPr>
            </w:pPr>
            <w:r>
              <w:rPr>
                <w:rFonts w:hint="eastAsia"/>
                <w:color w:val="auto"/>
                <w:sz w:val="24"/>
                <w:szCs w:val="24"/>
                <w:highlight w:val="none"/>
              </w:rPr>
              <w:t>是否有招标人不能接受的其他条款</w:t>
            </w:r>
          </w:p>
        </w:tc>
        <w:tc>
          <w:tcPr>
            <w:tcW w:w="1140" w:type="dxa"/>
          </w:tcPr>
          <w:p w14:paraId="3BD8B361">
            <w:pPr>
              <w:pStyle w:val="7"/>
              <w:snapToGrid w:val="0"/>
              <w:spacing w:line="460" w:lineRule="exact"/>
              <w:ind w:firstLine="480" w:firstLineChars="200"/>
              <w:jc w:val="both"/>
              <w:textAlignment w:val="baseline"/>
              <w:rPr>
                <w:color w:val="auto"/>
                <w:sz w:val="24"/>
                <w:szCs w:val="24"/>
                <w:highlight w:val="none"/>
              </w:rPr>
            </w:pPr>
          </w:p>
        </w:tc>
      </w:tr>
    </w:tbl>
    <w:p w14:paraId="30305561">
      <w:pPr>
        <w:pStyle w:val="4"/>
        <w:snapToGrid w:val="0"/>
        <w:spacing w:line="460" w:lineRule="exact"/>
        <w:jc w:val="both"/>
        <w:textAlignment w:val="baseline"/>
        <w:rPr>
          <w:color w:val="auto"/>
          <w:sz w:val="24"/>
          <w:szCs w:val="24"/>
          <w:highlight w:val="none"/>
        </w:rPr>
      </w:pPr>
    </w:p>
    <w:p w14:paraId="06485253">
      <w:pPr>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二、评分办法</w:t>
      </w:r>
    </w:p>
    <w:p w14:paraId="5CE1DF1C">
      <w:pPr>
        <w:snapToGrid w:val="0"/>
        <w:spacing w:line="460" w:lineRule="exact"/>
        <w:ind w:firstLine="480" w:firstLineChars="200"/>
        <w:jc w:val="both"/>
        <w:textAlignment w:val="baseline"/>
        <w:rPr>
          <w:color w:val="auto"/>
          <w:sz w:val="24"/>
          <w:szCs w:val="24"/>
          <w:highlight w:val="none"/>
        </w:rPr>
      </w:pPr>
      <w:r>
        <w:rPr>
          <w:rFonts w:hint="eastAsia"/>
          <w:color w:val="auto"/>
          <w:sz w:val="24"/>
          <w:szCs w:val="24"/>
          <w:highlight w:val="none"/>
        </w:rPr>
        <w:t>本次评标采用综合评分法。综合评分法是指评标委员会根据招标文件的要求，对投标人进行综合评审，经评审后向招标人推荐不超过三名有排序的合格的中标候选人的一种评标办法。</w:t>
      </w:r>
    </w:p>
    <w:p w14:paraId="6A0C6665">
      <w:pPr>
        <w:snapToGrid w:val="0"/>
        <w:spacing w:line="460" w:lineRule="exact"/>
        <w:ind w:firstLine="480" w:firstLineChars="200"/>
        <w:jc w:val="both"/>
        <w:textAlignment w:val="baseline"/>
        <w:rPr>
          <w:color w:val="auto"/>
          <w:sz w:val="24"/>
          <w:szCs w:val="24"/>
          <w:highlight w:val="none"/>
        </w:rPr>
      </w:pPr>
      <w:r>
        <w:rPr>
          <w:rFonts w:hint="eastAsia"/>
          <w:color w:val="auto"/>
          <w:sz w:val="24"/>
          <w:szCs w:val="24"/>
          <w:highlight w:val="none"/>
        </w:rPr>
        <w:t>按投标人投标文件送达的先后</w:t>
      </w:r>
      <w:r>
        <w:rPr>
          <w:rFonts w:hint="eastAsia"/>
          <w:color w:val="auto"/>
          <w:sz w:val="24"/>
          <w:szCs w:val="24"/>
          <w:highlight w:val="none"/>
          <w:lang w:val="en-US"/>
        </w:rPr>
        <w:t>顺</w:t>
      </w:r>
      <w:r>
        <w:rPr>
          <w:rFonts w:hint="eastAsia"/>
          <w:color w:val="auto"/>
          <w:sz w:val="24"/>
          <w:szCs w:val="24"/>
          <w:highlight w:val="none"/>
        </w:rPr>
        <w:t>序开标。投标人的投标报价超过招标控制价的为废标。评标委员会将只对通过初步评审的投标文件进行评价和比较。</w:t>
      </w:r>
    </w:p>
    <w:p w14:paraId="5822A51E">
      <w:pPr>
        <w:snapToGrid w:val="0"/>
        <w:spacing w:line="460" w:lineRule="exact"/>
        <w:ind w:firstLine="480" w:firstLineChars="200"/>
        <w:jc w:val="both"/>
        <w:textAlignment w:val="baseline"/>
        <w:rPr>
          <w:color w:val="auto"/>
          <w:sz w:val="24"/>
          <w:szCs w:val="24"/>
          <w:highlight w:val="none"/>
        </w:rPr>
      </w:pPr>
      <w:r>
        <w:rPr>
          <w:rFonts w:hint="eastAsia"/>
          <w:color w:val="auto"/>
          <w:sz w:val="24"/>
          <w:szCs w:val="24"/>
          <w:highlight w:val="none"/>
        </w:rPr>
        <w:t>（一</w:t>
      </w:r>
      <w:r>
        <w:rPr>
          <w:rFonts w:hint="eastAsia"/>
          <w:color w:val="auto"/>
          <w:sz w:val="24"/>
          <w:szCs w:val="24"/>
          <w:highlight w:val="none"/>
          <w:lang w:eastAsia="zh-CN"/>
        </w:rPr>
        <w:t>）</w:t>
      </w:r>
      <w:r>
        <w:rPr>
          <w:rFonts w:hint="eastAsia"/>
          <w:color w:val="auto"/>
          <w:sz w:val="24"/>
          <w:szCs w:val="24"/>
          <w:highlight w:val="none"/>
        </w:rPr>
        <w:t xml:space="preserve"> 评分标准（总分100分）投标的综合得分为：</w:t>
      </w:r>
    </w:p>
    <w:tbl>
      <w:tblPr>
        <w:tblStyle w:val="5"/>
        <w:tblW w:w="7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72"/>
        <w:gridCol w:w="5988"/>
      </w:tblGrid>
      <w:tr w14:paraId="204C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6" w:type="dxa"/>
          </w:tcPr>
          <w:p w14:paraId="69DE7AA7">
            <w:pPr>
              <w:snapToGrid w:val="0"/>
              <w:jc w:val="center"/>
              <w:textAlignment w:val="baseline"/>
              <w:rPr>
                <w:b/>
                <w:bCs/>
                <w:color w:val="auto"/>
                <w:sz w:val="24"/>
                <w:szCs w:val="24"/>
                <w:highlight w:val="red"/>
              </w:rPr>
            </w:pPr>
          </w:p>
        </w:tc>
        <w:tc>
          <w:tcPr>
            <w:tcW w:w="872" w:type="dxa"/>
          </w:tcPr>
          <w:p w14:paraId="0FDD1A47">
            <w:pPr>
              <w:snapToGrid w:val="0"/>
              <w:jc w:val="center"/>
              <w:textAlignment w:val="baseline"/>
              <w:rPr>
                <w:b/>
                <w:bCs/>
                <w:color w:val="auto"/>
                <w:sz w:val="24"/>
                <w:szCs w:val="24"/>
                <w:highlight w:val="red"/>
              </w:rPr>
            </w:pPr>
            <w:r>
              <w:rPr>
                <w:rFonts w:hint="eastAsia"/>
                <w:b/>
                <w:bCs/>
                <w:color w:val="auto"/>
                <w:sz w:val="24"/>
                <w:szCs w:val="24"/>
                <w:highlight w:val="none"/>
              </w:rPr>
              <w:t>标准分</w:t>
            </w:r>
          </w:p>
        </w:tc>
        <w:tc>
          <w:tcPr>
            <w:tcW w:w="5988" w:type="dxa"/>
          </w:tcPr>
          <w:p w14:paraId="5763D437">
            <w:pPr>
              <w:snapToGrid w:val="0"/>
              <w:jc w:val="center"/>
              <w:textAlignment w:val="baseline"/>
              <w:rPr>
                <w:rFonts w:hint="eastAsia"/>
                <w:b/>
                <w:bCs/>
                <w:color w:val="auto"/>
                <w:sz w:val="24"/>
                <w:szCs w:val="24"/>
                <w:highlight w:val="none"/>
              </w:rPr>
            </w:pPr>
            <w:r>
              <w:rPr>
                <w:rFonts w:hint="eastAsia"/>
                <w:b/>
                <w:bCs/>
                <w:color w:val="auto"/>
                <w:sz w:val="24"/>
                <w:szCs w:val="24"/>
                <w:highlight w:val="none"/>
              </w:rPr>
              <w:t>评分标准</w:t>
            </w:r>
          </w:p>
        </w:tc>
      </w:tr>
      <w:tr w14:paraId="6A8D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066" w:type="dxa"/>
            <w:vAlign w:val="center"/>
          </w:tcPr>
          <w:p w14:paraId="5597CB51">
            <w:pPr>
              <w:snapToGrid w:val="0"/>
              <w:jc w:val="center"/>
              <w:textAlignment w:val="baseline"/>
              <w:rPr>
                <w:rFonts w:hint="eastAsia"/>
                <w:color w:val="auto"/>
                <w:sz w:val="24"/>
                <w:szCs w:val="24"/>
                <w:highlight w:val="none"/>
              </w:rPr>
            </w:pPr>
            <w:r>
              <w:rPr>
                <w:rFonts w:hint="eastAsia"/>
                <w:sz w:val="24"/>
                <w:szCs w:val="24"/>
              </w:rPr>
              <w:t>投标报价</w:t>
            </w:r>
          </w:p>
        </w:tc>
        <w:tc>
          <w:tcPr>
            <w:tcW w:w="872" w:type="dxa"/>
            <w:vAlign w:val="center"/>
          </w:tcPr>
          <w:p w14:paraId="12E8DCCF">
            <w:pPr>
              <w:snapToGrid w:val="0"/>
              <w:jc w:val="left"/>
              <w:textAlignment w:val="baseline"/>
              <w:rPr>
                <w:rFonts w:hint="eastAsia"/>
                <w:color w:val="auto"/>
                <w:sz w:val="24"/>
                <w:szCs w:val="24"/>
                <w:highlight w:val="none"/>
              </w:rPr>
            </w:pPr>
            <w:r>
              <w:rPr>
                <w:rFonts w:hint="eastAsia"/>
                <w:sz w:val="24"/>
                <w:szCs w:val="24"/>
                <w:lang w:val="en-US" w:eastAsia="zh-CN"/>
              </w:rPr>
              <w:t>3</w:t>
            </w:r>
            <w:r>
              <w:rPr>
                <w:rFonts w:hint="eastAsia"/>
                <w:sz w:val="24"/>
                <w:szCs w:val="24"/>
              </w:rPr>
              <w:t>0分</w:t>
            </w:r>
          </w:p>
        </w:tc>
        <w:tc>
          <w:tcPr>
            <w:tcW w:w="5988" w:type="dxa"/>
            <w:vAlign w:val="center"/>
          </w:tcPr>
          <w:p w14:paraId="70079239">
            <w:pPr>
              <w:snapToGrid w:val="0"/>
              <w:textAlignment w:val="baseline"/>
              <w:rPr>
                <w:color w:val="auto"/>
                <w:sz w:val="24"/>
                <w:szCs w:val="24"/>
                <w:highlight w:val="none"/>
              </w:rPr>
            </w:pPr>
            <w:r>
              <w:rPr>
                <w:rFonts w:hint="eastAsia"/>
                <w:sz w:val="24"/>
                <w:szCs w:val="24"/>
                <w:lang w:eastAsia="zh-CN"/>
              </w:rPr>
              <w:t>以满足招标要求且最低报价为基准价得满分，其他按照公式计算：投标报价得分</w:t>
            </w:r>
            <w:r>
              <w:rPr>
                <w:rFonts w:hint="eastAsia"/>
                <w:sz w:val="24"/>
                <w:szCs w:val="24"/>
                <w:lang w:val="en-US" w:eastAsia="zh-CN"/>
              </w:rPr>
              <w:t>=（评标基准价/投标报价）*价格权值。</w:t>
            </w:r>
          </w:p>
        </w:tc>
      </w:tr>
      <w:tr w14:paraId="113C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066" w:type="dxa"/>
            <w:vAlign w:val="center"/>
          </w:tcPr>
          <w:p w14:paraId="50331C87">
            <w:pPr>
              <w:snapToGrid w:val="0"/>
              <w:ind w:right="-141" w:rightChars="-64"/>
              <w:jc w:val="center"/>
              <w:textAlignment w:val="baseline"/>
              <w:rPr>
                <w:rFonts w:hint="eastAsia"/>
                <w:sz w:val="24"/>
                <w:szCs w:val="24"/>
              </w:rPr>
            </w:pPr>
            <w:r>
              <w:rPr>
                <w:rFonts w:hint="eastAsia"/>
                <w:sz w:val="24"/>
                <w:szCs w:val="24"/>
              </w:rPr>
              <w:t>投标人</w:t>
            </w:r>
          </w:p>
          <w:p w14:paraId="25A3C639">
            <w:pPr>
              <w:snapToGrid w:val="0"/>
              <w:ind w:right="-141" w:rightChars="-64"/>
              <w:jc w:val="center"/>
              <w:textAlignment w:val="baseline"/>
              <w:rPr>
                <w:rFonts w:hint="eastAsia" w:ascii="宋体" w:hAnsi="宋体" w:eastAsia="宋体" w:cs="宋体"/>
                <w:color w:val="auto"/>
                <w:sz w:val="24"/>
                <w:szCs w:val="24"/>
                <w:highlight w:val="none"/>
                <w:lang w:val="zh-CN" w:eastAsia="zh-CN" w:bidi="zh-CN"/>
              </w:rPr>
            </w:pPr>
            <w:r>
              <w:rPr>
                <w:rFonts w:hint="eastAsia"/>
                <w:sz w:val="24"/>
                <w:szCs w:val="24"/>
                <w:lang w:val="en-US" w:eastAsia="zh-CN"/>
              </w:rPr>
              <w:t>业绩</w:t>
            </w:r>
          </w:p>
        </w:tc>
        <w:tc>
          <w:tcPr>
            <w:tcW w:w="872" w:type="dxa"/>
            <w:vAlign w:val="center"/>
          </w:tcPr>
          <w:p w14:paraId="797787EE">
            <w:pPr>
              <w:snapToGrid w:val="0"/>
              <w:jc w:val="center"/>
              <w:textAlignment w:val="baseline"/>
              <w:rPr>
                <w:rFonts w:hint="eastAsia" w:ascii="宋体" w:hAnsi="宋体" w:eastAsia="宋体" w:cs="宋体"/>
                <w:color w:val="auto"/>
                <w:sz w:val="24"/>
                <w:szCs w:val="24"/>
                <w:highlight w:val="none"/>
                <w:lang w:val="en-US" w:eastAsia="zh-CN" w:bidi="zh-CN"/>
              </w:rPr>
            </w:pPr>
            <w:r>
              <w:rPr>
                <w:rFonts w:hint="eastAsia"/>
                <w:sz w:val="24"/>
                <w:szCs w:val="24"/>
                <w:lang w:val="en-US" w:eastAsia="zh-CN"/>
              </w:rPr>
              <w:t>30</w:t>
            </w:r>
            <w:r>
              <w:rPr>
                <w:rFonts w:hint="eastAsia"/>
                <w:sz w:val="24"/>
                <w:szCs w:val="24"/>
              </w:rPr>
              <w:t>分</w:t>
            </w:r>
          </w:p>
        </w:tc>
        <w:tc>
          <w:tcPr>
            <w:tcW w:w="5988" w:type="dxa"/>
            <w:vAlign w:val="center"/>
          </w:tcPr>
          <w:p w14:paraId="4EBBA34A">
            <w:pPr>
              <w:snapToGrid w:val="0"/>
              <w:jc w:val="both"/>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近三年（指2022年8月起至投标截止之日止）完成过1项合同金额在20万元以上的文创产品采购业绩的得10分，每加一项得10分，最多得30分。</w:t>
            </w:r>
          </w:p>
          <w:p w14:paraId="057E95A2">
            <w:pPr>
              <w:pStyle w:val="2"/>
              <w:rPr>
                <w:rFonts w:hint="default"/>
                <w:lang w:val="en-US"/>
              </w:rPr>
            </w:pPr>
            <w:r>
              <w:rPr>
                <w:rFonts w:hint="eastAsia"/>
                <w:color w:val="auto"/>
                <w:sz w:val="24"/>
                <w:szCs w:val="24"/>
                <w:highlight w:val="none"/>
                <w:lang w:val="en-US" w:eastAsia="zh-CN"/>
              </w:rPr>
              <w:t>注：提供销售合同或中标通知书以及产品供货清单，时间以合同签订时间为准；未提供证明材料不得分。</w:t>
            </w:r>
          </w:p>
        </w:tc>
      </w:tr>
      <w:tr w14:paraId="3A99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066" w:type="dxa"/>
            <w:vAlign w:val="center"/>
          </w:tcPr>
          <w:p w14:paraId="78B3B9F9">
            <w:pPr>
              <w:widowControl/>
              <w:snapToGrid w:val="0"/>
              <w:jc w:val="center"/>
              <w:textAlignment w:val="center"/>
              <w:rPr>
                <w:rFonts w:hint="eastAsia" w:eastAsia="宋体"/>
                <w:sz w:val="24"/>
                <w:szCs w:val="24"/>
                <w:highlight w:val="none"/>
                <w:lang w:val="en-US" w:eastAsia="zh-CN"/>
              </w:rPr>
            </w:pPr>
          </w:p>
          <w:p w14:paraId="72FADFF1">
            <w:pPr>
              <w:widowControl/>
              <w:snapToGrid w:val="0"/>
              <w:jc w:val="center"/>
              <w:textAlignment w:val="center"/>
              <w:rPr>
                <w:rFonts w:hint="eastAsia" w:eastAsia="宋体"/>
                <w:sz w:val="24"/>
                <w:szCs w:val="24"/>
                <w:highlight w:val="none"/>
                <w:lang w:eastAsia="zh-CN"/>
              </w:rPr>
            </w:pPr>
            <w:r>
              <w:rPr>
                <w:rFonts w:hint="eastAsia"/>
                <w:sz w:val="24"/>
                <w:szCs w:val="24"/>
                <w:highlight w:val="none"/>
              </w:rPr>
              <w:t>设计</w:t>
            </w:r>
            <w:r>
              <w:rPr>
                <w:rFonts w:hint="eastAsia"/>
                <w:sz w:val="24"/>
                <w:szCs w:val="24"/>
                <w:highlight w:val="none"/>
                <w:lang w:eastAsia="zh-CN"/>
              </w:rPr>
              <w:t>方案</w:t>
            </w:r>
          </w:p>
        </w:tc>
        <w:tc>
          <w:tcPr>
            <w:tcW w:w="872" w:type="dxa"/>
            <w:vAlign w:val="center"/>
          </w:tcPr>
          <w:p w14:paraId="706335FD">
            <w:pPr>
              <w:widowControl/>
              <w:snapToGrid w:val="0"/>
              <w:jc w:val="center"/>
              <w:textAlignment w:val="center"/>
              <w:rPr>
                <w:rFonts w:hint="eastAsia"/>
                <w:sz w:val="24"/>
                <w:szCs w:val="24"/>
                <w:highlight w:val="none"/>
                <w:lang w:val="en-US" w:eastAsia="zh-CN"/>
              </w:rPr>
            </w:pPr>
            <w:r>
              <w:rPr>
                <w:rFonts w:hint="eastAsia"/>
                <w:color w:val="auto"/>
                <w:sz w:val="24"/>
                <w:szCs w:val="24"/>
                <w:highlight w:val="none"/>
                <w:lang w:val="en-US" w:eastAsia="zh-CN"/>
              </w:rPr>
              <w:t>30</w:t>
            </w:r>
            <w:r>
              <w:rPr>
                <w:rFonts w:hint="eastAsia"/>
                <w:sz w:val="24"/>
                <w:szCs w:val="24"/>
                <w:highlight w:val="none"/>
              </w:rPr>
              <w:t>分</w:t>
            </w:r>
          </w:p>
        </w:tc>
        <w:tc>
          <w:tcPr>
            <w:tcW w:w="5988" w:type="dxa"/>
            <w:vAlign w:val="center"/>
          </w:tcPr>
          <w:p w14:paraId="13CB0445">
            <w:pPr>
              <w:widowControl/>
              <w:snapToGrid w:val="0"/>
              <w:jc w:val="center"/>
              <w:textAlignment w:val="center"/>
              <w:rPr>
                <w:rFonts w:hint="eastAsia" w:eastAsia="宋体"/>
                <w:sz w:val="24"/>
                <w:szCs w:val="24"/>
                <w:highlight w:val="yellow"/>
                <w:lang w:val="en-US" w:eastAsia="zh-CN"/>
              </w:rPr>
            </w:pPr>
            <w:r>
              <w:rPr>
                <w:rFonts w:hint="eastAsia"/>
                <w:sz w:val="24"/>
                <w:szCs w:val="24"/>
                <w:highlight w:val="none"/>
                <w:lang w:val="en-US" w:eastAsia="zh-CN"/>
              </w:rPr>
              <w:t>产品设计方案是否深刻反映黄石地域文化、景区景点特色、地标特色或历史文化，设计理念是否具有积极的价值导向，设计构思是否新颖独特，产品是否具有相关科技性。</w:t>
            </w:r>
            <w:r>
              <w:rPr>
                <w:rFonts w:hint="eastAsia"/>
                <w:sz w:val="24"/>
                <w:szCs w:val="24"/>
                <w:highlight w:val="none"/>
                <w:lang w:val="en-US"/>
              </w:rPr>
              <w:t>优</w:t>
            </w:r>
            <w:r>
              <w:rPr>
                <w:rFonts w:hint="eastAsia"/>
                <w:sz w:val="24"/>
                <w:szCs w:val="24"/>
                <w:highlight w:val="none"/>
                <w:lang w:val="en-US" w:eastAsia="zh-CN"/>
              </w:rPr>
              <w:t>24-30</w:t>
            </w:r>
            <w:r>
              <w:rPr>
                <w:rFonts w:hint="eastAsia"/>
                <w:sz w:val="24"/>
                <w:szCs w:val="24"/>
                <w:highlight w:val="none"/>
                <w:lang w:val="en-US"/>
              </w:rPr>
              <w:t>分，良</w:t>
            </w:r>
            <w:r>
              <w:rPr>
                <w:rFonts w:hint="eastAsia"/>
                <w:sz w:val="24"/>
                <w:szCs w:val="24"/>
                <w:highlight w:val="none"/>
                <w:lang w:val="en-US" w:eastAsia="zh-CN"/>
              </w:rPr>
              <w:t>15</w:t>
            </w:r>
            <w:r>
              <w:rPr>
                <w:rFonts w:hint="eastAsia"/>
                <w:sz w:val="24"/>
                <w:szCs w:val="24"/>
                <w:highlight w:val="none"/>
                <w:lang w:val="en-US"/>
              </w:rPr>
              <w:t>-</w:t>
            </w:r>
            <w:r>
              <w:rPr>
                <w:rFonts w:hint="eastAsia"/>
                <w:sz w:val="24"/>
                <w:szCs w:val="24"/>
                <w:highlight w:val="none"/>
                <w:lang w:val="en-US" w:eastAsia="zh-CN"/>
              </w:rPr>
              <w:t>23</w:t>
            </w:r>
            <w:r>
              <w:rPr>
                <w:rFonts w:hint="eastAsia"/>
                <w:sz w:val="24"/>
                <w:szCs w:val="24"/>
                <w:highlight w:val="none"/>
                <w:lang w:val="en-US"/>
              </w:rPr>
              <w:t>分，差</w:t>
            </w:r>
            <w:r>
              <w:rPr>
                <w:rFonts w:hint="eastAsia"/>
                <w:sz w:val="24"/>
                <w:szCs w:val="24"/>
                <w:highlight w:val="none"/>
                <w:lang w:val="en-US" w:eastAsia="zh-CN"/>
              </w:rPr>
              <w:t>0</w:t>
            </w:r>
            <w:r>
              <w:rPr>
                <w:rFonts w:hint="eastAsia"/>
                <w:sz w:val="24"/>
                <w:szCs w:val="24"/>
                <w:highlight w:val="none"/>
                <w:lang w:val="en-US"/>
              </w:rPr>
              <w:t>-</w:t>
            </w:r>
            <w:r>
              <w:rPr>
                <w:rFonts w:hint="eastAsia"/>
                <w:sz w:val="24"/>
                <w:szCs w:val="24"/>
                <w:highlight w:val="none"/>
                <w:lang w:val="en-US" w:eastAsia="zh-CN"/>
              </w:rPr>
              <w:t>14</w:t>
            </w:r>
            <w:r>
              <w:rPr>
                <w:rFonts w:hint="eastAsia"/>
                <w:sz w:val="24"/>
                <w:szCs w:val="24"/>
                <w:highlight w:val="none"/>
                <w:lang w:val="en-US"/>
              </w:rPr>
              <w:t>分。</w:t>
            </w:r>
            <w:r>
              <w:rPr>
                <w:rFonts w:hint="eastAsia"/>
                <w:sz w:val="24"/>
                <w:szCs w:val="24"/>
                <w:highlight w:val="none"/>
                <w:lang w:val="en-US" w:eastAsia="zh-CN"/>
              </w:rPr>
              <w:t xml:space="preserve"> </w:t>
            </w:r>
          </w:p>
        </w:tc>
      </w:tr>
      <w:tr w14:paraId="41B2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066" w:type="dxa"/>
            <w:vAlign w:val="center"/>
          </w:tcPr>
          <w:p w14:paraId="6A758F4D">
            <w:pPr>
              <w:snapToGrid w:val="0"/>
              <w:spacing w:line="320" w:lineRule="atLeast"/>
              <w:jc w:val="center"/>
              <w:rPr>
                <w:rFonts w:hint="eastAsia" w:ascii="宋体" w:hAnsi="宋体" w:eastAsia="宋体" w:cs="宋体"/>
                <w:color w:val="auto"/>
                <w:sz w:val="24"/>
                <w:szCs w:val="24"/>
                <w:highlight w:val="none"/>
                <w:lang w:val="zh-CN" w:eastAsia="zh-CN" w:bidi="zh-CN"/>
              </w:rPr>
            </w:pPr>
            <w:r>
              <w:rPr>
                <w:rFonts w:hint="eastAsia"/>
                <w:sz w:val="24"/>
                <w:szCs w:val="24"/>
                <w:lang w:val="en-US" w:eastAsia="zh-CN"/>
              </w:rPr>
              <w:t>售后服务承诺</w:t>
            </w:r>
          </w:p>
        </w:tc>
        <w:tc>
          <w:tcPr>
            <w:tcW w:w="872" w:type="dxa"/>
            <w:vAlign w:val="center"/>
          </w:tcPr>
          <w:p w14:paraId="63DAB382">
            <w:pPr>
              <w:snapToGrid w:val="0"/>
              <w:spacing w:line="320" w:lineRule="atLeast"/>
              <w:jc w:val="center"/>
              <w:rPr>
                <w:rFonts w:hint="eastAsia"/>
                <w:sz w:val="24"/>
                <w:szCs w:val="24"/>
                <w:lang w:val="en-US" w:eastAsia="zh-CN"/>
              </w:rPr>
            </w:pPr>
            <w:r>
              <w:rPr>
                <w:rFonts w:hint="eastAsia"/>
                <w:sz w:val="24"/>
                <w:szCs w:val="24"/>
                <w:lang w:val="en-US" w:eastAsia="zh-CN"/>
              </w:rPr>
              <w:t>10分</w:t>
            </w:r>
          </w:p>
          <w:p w14:paraId="54A89642">
            <w:pPr>
              <w:widowControl/>
              <w:snapToGrid w:val="0"/>
              <w:spacing w:line="320" w:lineRule="atLeast"/>
              <w:jc w:val="both"/>
              <w:textAlignment w:val="auto"/>
              <w:rPr>
                <w:rFonts w:hint="eastAsia" w:ascii="宋体" w:hAnsi="宋体" w:eastAsia="宋体" w:cs="宋体"/>
                <w:color w:val="auto"/>
                <w:sz w:val="24"/>
                <w:szCs w:val="24"/>
                <w:highlight w:val="none"/>
                <w:lang w:val="zh-CN" w:eastAsia="zh-CN" w:bidi="zh-CN"/>
              </w:rPr>
            </w:pPr>
          </w:p>
        </w:tc>
        <w:tc>
          <w:tcPr>
            <w:tcW w:w="5988" w:type="dxa"/>
            <w:vAlign w:val="center"/>
          </w:tcPr>
          <w:p w14:paraId="1DC4AF3E">
            <w:pPr>
              <w:snapToGrid w:val="0"/>
              <w:spacing w:line="320" w:lineRule="atLeast"/>
              <w:rPr>
                <w:rFonts w:hint="default"/>
                <w:color w:val="auto"/>
                <w:sz w:val="24"/>
                <w:szCs w:val="24"/>
                <w:highlight w:val="none"/>
                <w:lang w:val="en-US" w:eastAsia="zh-CN"/>
              </w:rPr>
            </w:pPr>
            <w:r>
              <w:rPr>
                <w:rFonts w:hint="eastAsia"/>
                <w:color w:val="auto"/>
                <w:sz w:val="24"/>
                <w:szCs w:val="24"/>
                <w:highlight w:val="none"/>
                <w:lang w:val="en-US" w:eastAsia="zh-CN"/>
              </w:rPr>
              <w:t>因产品质量问题需要退换货的，自产品售出之日起七天内提供退换（人为因素导致损坏的除外）。2分</w:t>
            </w:r>
          </w:p>
          <w:p w14:paraId="7933858B">
            <w:pPr>
              <w:snapToGrid w:val="0"/>
              <w:spacing w:line="320" w:lineRule="atLeast"/>
              <w:rPr>
                <w:rFonts w:hint="default"/>
                <w:color w:val="auto"/>
                <w:sz w:val="24"/>
                <w:szCs w:val="24"/>
                <w:lang w:val="en-US" w:eastAsia="zh-CN"/>
              </w:rPr>
            </w:pPr>
            <w:r>
              <w:rPr>
                <w:rFonts w:hint="eastAsia"/>
                <w:color w:val="auto"/>
                <w:sz w:val="24"/>
                <w:szCs w:val="24"/>
                <w:lang w:val="en-US" w:eastAsia="zh-CN"/>
              </w:rPr>
              <w:t>投标人承诺在接到售后服务通知后24小时内处理完毕。3分</w:t>
            </w:r>
          </w:p>
          <w:p w14:paraId="717E6E4F">
            <w:pPr>
              <w:widowControl/>
              <w:snapToGrid w:val="0"/>
              <w:spacing w:line="320" w:lineRule="atLeast"/>
              <w:rPr>
                <w:rFonts w:hint="eastAsia"/>
                <w:color w:val="auto"/>
                <w:sz w:val="24"/>
                <w:szCs w:val="24"/>
                <w:highlight w:val="none"/>
              </w:rPr>
            </w:pPr>
            <w:r>
              <w:rPr>
                <w:rFonts w:hint="eastAsia"/>
                <w:color w:val="auto"/>
                <w:sz w:val="24"/>
                <w:szCs w:val="24"/>
                <w:lang w:val="en-US" w:eastAsia="zh-CN"/>
              </w:rPr>
              <w:t>投标人提供全部产品数量的3%备品，作为消费者退换货需求。5分</w:t>
            </w:r>
          </w:p>
        </w:tc>
      </w:tr>
    </w:tbl>
    <w:p w14:paraId="136D6597">
      <w:pPr>
        <w:pStyle w:val="4"/>
        <w:snapToGrid w:val="0"/>
        <w:spacing w:line="460" w:lineRule="exact"/>
        <w:jc w:val="both"/>
        <w:textAlignment w:val="baseline"/>
        <w:rPr>
          <w:color w:val="auto"/>
          <w:sz w:val="24"/>
          <w:szCs w:val="24"/>
          <w:highlight w:val="none"/>
        </w:rPr>
      </w:pPr>
    </w:p>
    <w:p w14:paraId="1724B439">
      <w:pPr>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三、计分办法</w:t>
      </w:r>
    </w:p>
    <w:p w14:paraId="2E1677DD">
      <w:pPr>
        <w:pStyle w:val="8"/>
        <w:tabs>
          <w:tab w:val="left" w:pos="1318"/>
        </w:tabs>
        <w:snapToGrid w:val="0"/>
        <w:spacing w:line="460" w:lineRule="exact"/>
        <w:ind w:left="0" w:firstLine="468" w:firstLineChars="200"/>
        <w:jc w:val="both"/>
        <w:textAlignment w:val="baseline"/>
        <w:rPr>
          <w:rFonts w:hint="eastAsia" w:eastAsia="宋体"/>
          <w:color w:val="auto"/>
          <w:spacing w:val="-3"/>
          <w:sz w:val="24"/>
          <w:szCs w:val="24"/>
          <w:highlight w:val="none"/>
          <w:lang w:eastAsia="zh-CN"/>
        </w:rPr>
      </w:pPr>
      <w:r>
        <w:rPr>
          <w:rFonts w:hint="eastAsia"/>
          <w:color w:val="auto"/>
          <w:spacing w:val="-3"/>
          <w:sz w:val="24"/>
          <w:szCs w:val="24"/>
          <w:highlight w:val="none"/>
        </w:rPr>
        <w:t>（一）评标委员会按照招标文件的要求给投标人打分，并按下列公式确定各投标人的评定分数</w:t>
      </w:r>
      <w:r>
        <w:rPr>
          <w:rFonts w:hint="eastAsia"/>
          <w:color w:val="auto"/>
          <w:spacing w:val="-3"/>
          <w:sz w:val="24"/>
          <w:szCs w:val="24"/>
          <w:highlight w:val="none"/>
          <w:lang w:eastAsia="zh-CN"/>
        </w:rPr>
        <w:t>：</w:t>
      </w:r>
    </w:p>
    <w:p w14:paraId="3B925411">
      <w:pPr>
        <w:pStyle w:val="8"/>
        <w:tabs>
          <w:tab w:val="left" w:pos="1318"/>
        </w:tabs>
        <w:snapToGrid w:val="0"/>
        <w:spacing w:line="460" w:lineRule="exact"/>
        <w:ind w:left="0" w:firstLine="468" w:firstLineChars="200"/>
        <w:jc w:val="both"/>
        <w:textAlignment w:val="baseline"/>
        <w:rPr>
          <w:rFonts w:hint="default"/>
          <w:color w:val="FF0000"/>
          <w:spacing w:val="-3"/>
          <w:sz w:val="24"/>
          <w:szCs w:val="24"/>
          <w:highlight w:val="none"/>
          <w:lang w:val="en-US"/>
        </w:rPr>
      </w:pPr>
      <w:r>
        <w:rPr>
          <w:rFonts w:hint="eastAsia"/>
          <w:color w:val="auto"/>
          <w:spacing w:val="-3"/>
          <w:sz w:val="24"/>
          <w:szCs w:val="24"/>
          <w:highlight w:val="none"/>
        </w:rPr>
        <w:t xml:space="preserve">   </w:t>
      </w:r>
      <w:r>
        <w:rPr>
          <w:rFonts w:hint="eastAsia"/>
          <w:color w:val="FF0000"/>
          <w:spacing w:val="-3"/>
          <w:sz w:val="24"/>
          <w:szCs w:val="24"/>
          <w:highlight w:val="none"/>
        </w:rPr>
        <w:t xml:space="preserve"> </w:t>
      </w:r>
      <w:r>
        <w:rPr>
          <w:rFonts w:hint="eastAsia"/>
          <w:color w:val="auto"/>
          <w:spacing w:val="-3"/>
          <w:sz w:val="24"/>
          <w:szCs w:val="24"/>
          <w:highlight w:val="none"/>
        </w:rPr>
        <w:t>评定分数=</w:t>
      </w:r>
      <w:r>
        <w:rPr>
          <w:rFonts w:hint="eastAsia"/>
          <w:color w:val="auto"/>
          <w:spacing w:val="-3"/>
          <w:sz w:val="24"/>
          <w:szCs w:val="24"/>
          <w:highlight w:val="none"/>
          <w:lang w:eastAsia="zh-CN"/>
        </w:rPr>
        <w:t>投标报价</w:t>
      </w:r>
      <w:r>
        <w:rPr>
          <w:rFonts w:hint="eastAsia"/>
          <w:color w:val="auto"/>
          <w:spacing w:val="-3"/>
          <w:sz w:val="24"/>
          <w:szCs w:val="24"/>
          <w:highlight w:val="none"/>
        </w:rPr>
        <w:t>得分+</w:t>
      </w:r>
      <w:r>
        <w:rPr>
          <w:rFonts w:hint="eastAsia"/>
          <w:color w:val="auto"/>
          <w:spacing w:val="-3"/>
          <w:sz w:val="24"/>
          <w:szCs w:val="24"/>
          <w:highlight w:val="none"/>
          <w:lang w:val="en-US" w:eastAsia="zh-CN"/>
        </w:rPr>
        <w:t>投标人业绩</w:t>
      </w:r>
      <w:r>
        <w:rPr>
          <w:rFonts w:hint="eastAsia"/>
          <w:color w:val="auto"/>
          <w:spacing w:val="-3"/>
          <w:sz w:val="24"/>
          <w:szCs w:val="24"/>
          <w:highlight w:val="none"/>
        </w:rPr>
        <w:t>得分+</w:t>
      </w:r>
      <w:r>
        <w:rPr>
          <w:rFonts w:hint="eastAsia"/>
          <w:color w:val="auto"/>
          <w:spacing w:val="-3"/>
          <w:sz w:val="24"/>
          <w:szCs w:val="24"/>
          <w:highlight w:val="none"/>
          <w:lang w:eastAsia="zh-CN"/>
        </w:rPr>
        <w:t>设计方案</w:t>
      </w:r>
      <w:r>
        <w:rPr>
          <w:rFonts w:hint="eastAsia"/>
          <w:color w:val="auto"/>
          <w:spacing w:val="-3"/>
          <w:sz w:val="24"/>
          <w:szCs w:val="24"/>
          <w:highlight w:val="none"/>
        </w:rPr>
        <w:t>得分</w:t>
      </w:r>
      <w:r>
        <w:rPr>
          <w:rFonts w:hint="eastAsia"/>
          <w:color w:val="auto"/>
          <w:spacing w:val="-3"/>
          <w:sz w:val="24"/>
          <w:szCs w:val="24"/>
          <w:highlight w:val="none"/>
          <w:lang w:val="en-US" w:eastAsia="zh-CN"/>
        </w:rPr>
        <w:t>+售后服务得分</w:t>
      </w:r>
    </w:p>
    <w:p w14:paraId="3A297931">
      <w:pPr>
        <w:pStyle w:val="8"/>
        <w:tabs>
          <w:tab w:val="left" w:pos="1318"/>
        </w:tabs>
        <w:snapToGrid w:val="0"/>
        <w:spacing w:line="460" w:lineRule="exact"/>
        <w:ind w:left="0" w:firstLine="468" w:firstLineChars="200"/>
        <w:jc w:val="both"/>
        <w:textAlignment w:val="baseline"/>
        <w:rPr>
          <w:rFonts w:hint="eastAsia" w:eastAsia="宋体"/>
          <w:color w:val="auto"/>
          <w:spacing w:val="-3"/>
          <w:sz w:val="24"/>
          <w:szCs w:val="24"/>
          <w:highlight w:val="none"/>
          <w:lang w:eastAsia="zh-CN"/>
        </w:rPr>
      </w:pPr>
      <w:r>
        <w:rPr>
          <w:rFonts w:hint="eastAsia"/>
          <w:color w:val="auto"/>
          <w:spacing w:val="-3"/>
          <w:sz w:val="24"/>
          <w:szCs w:val="24"/>
          <w:highlight w:val="none"/>
        </w:rPr>
        <w:t>（二）各投标人的最终得分为各评委所评定分数的算术平均值。</w:t>
      </w:r>
    </w:p>
    <w:p w14:paraId="1CFFF035">
      <w:pPr>
        <w:pStyle w:val="8"/>
        <w:tabs>
          <w:tab w:val="left" w:pos="1318"/>
        </w:tabs>
        <w:snapToGrid w:val="0"/>
        <w:spacing w:line="460" w:lineRule="exact"/>
        <w:ind w:left="0" w:firstLine="468" w:firstLineChars="200"/>
        <w:jc w:val="both"/>
        <w:textAlignment w:val="baseline"/>
        <w:rPr>
          <w:rFonts w:hint="eastAsia" w:eastAsia="宋体"/>
          <w:color w:val="auto"/>
          <w:spacing w:val="-3"/>
          <w:sz w:val="24"/>
          <w:szCs w:val="24"/>
          <w:highlight w:val="none"/>
          <w:lang w:eastAsia="zh-CN"/>
        </w:rPr>
      </w:pPr>
      <w:r>
        <w:rPr>
          <w:rFonts w:hint="eastAsia"/>
          <w:color w:val="auto"/>
          <w:spacing w:val="-3"/>
          <w:sz w:val="24"/>
          <w:szCs w:val="24"/>
          <w:highlight w:val="none"/>
        </w:rPr>
        <w:t>（三）各项统计、评分结果均按四舍五入方法精确到小数点后二位。</w:t>
      </w:r>
    </w:p>
    <w:p w14:paraId="47490B02">
      <w:pPr>
        <w:pStyle w:val="8"/>
        <w:tabs>
          <w:tab w:val="left" w:pos="1318"/>
        </w:tabs>
        <w:snapToGrid w:val="0"/>
        <w:spacing w:line="460" w:lineRule="exact"/>
        <w:ind w:left="0" w:firstLine="468" w:firstLineChars="200"/>
        <w:jc w:val="both"/>
        <w:textAlignment w:val="baseline"/>
        <w:rPr>
          <w:color w:val="auto"/>
          <w:spacing w:val="-3"/>
          <w:sz w:val="24"/>
          <w:szCs w:val="24"/>
          <w:highlight w:val="none"/>
        </w:rPr>
      </w:pPr>
      <w:r>
        <w:rPr>
          <w:rFonts w:hint="eastAsia"/>
          <w:color w:val="auto"/>
          <w:spacing w:val="-3"/>
          <w:sz w:val="24"/>
          <w:szCs w:val="24"/>
          <w:highlight w:val="none"/>
        </w:rPr>
        <w:t>（四）评标委员会根据投标人的最终得分</w:t>
      </w:r>
      <w:r>
        <w:rPr>
          <w:rFonts w:hint="eastAsia"/>
          <w:color w:val="auto"/>
          <w:spacing w:val="-3"/>
          <w:sz w:val="24"/>
          <w:szCs w:val="24"/>
          <w:highlight w:val="none"/>
          <w:lang w:eastAsia="zh-CN"/>
        </w:rPr>
        <w:t>，</w:t>
      </w:r>
      <w:r>
        <w:rPr>
          <w:rFonts w:hint="eastAsia"/>
          <w:color w:val="auto"/>
          <w:spacing w:val="-3"/>
          <w:sz w:val="24"/>
          <w:szCs w:val="24"/>
          <w:highlight w:val="none"/>
        </w:rPr>
        <w:t>按高低次序确定投标人最终的排列名次，并按照招标文件中规定，推荐不超过三名有排序的合格的中标候选人。</w:t>
      </w:r>
    </w:p>
    <w:p w14:paraId="65D38757">
      <w:pPr>
        <w:pStyle w:val="8"/>
        <w:tabs>
          <w:tab w:val="left" w:pos="1318"/>
        </w:tabs>
        <w:snapToGrid w:val="0"/>
        <w:spacing w:line="360" w:lineRule="auto"/>
        <w:ind w:left="0" w:right="607" w:firstLine="0"/>
        <w:textAlignment w:val="baseline"/>
        <w:rPr>
          <w:color w:val="auto"/>
          <w:spacing w:val="-3"/>
          <w:sz w:val="21"/>
          <w:highlight w:val="none"/>
        </w:rPr>
      </w:pPr>
    </w:p>
    <w:p w14:paraId="7A2E05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C0C00"/>
    <w:rsid w:val="6CAC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542" w:lineRule="exact"/>
      <w:ind w:right="34"/>
      <w:jc w:val="center"/>
      <w:outlineLvl w:val="0"/>
    </w:pPr>
    <w:rPr>
      <w:rFonts w:ascii="微软雅黑" w:hAnsi="微软雅黑" w:eastAsia="微软雅黑" w:cs="微软雅黑"/>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 w:val="21"/>
    </w:rPr>
  </w:style>
  <w:style w:type="paragraph" w:styleId="4">
    <w:name w:val="Body Text"/>
    <w:basedOn w:val="1"/>
    <w:qFormat/>
    <w:uiPriority w:val="1"/>
    <w:rPr>
      <w:sz w:val="21"/>
      <w:szCs w:val="21"/>
    </w:rPr>
  </w:style>
  <w:style w:type="paragraph" w:customStyle="1" w:styleId="7">
    <w:name w:val="Table Paragraph"/>
    <w:basedOn w:val="1"/>
    <w:autoRedefine/>
    <w:qFormat/>
    <w:uiPriority w:val="1"/>
  </w:style>
  <w:style w:type="paragraph" w:styleId="8">
    <w:name w:val="List Paragraph"/>
    <w:basedOn w:val="1"/>
    <w:autoRedefine/>
    <w:qFormat/>
    <w:uiPriority w:val="1"/>
    <w:pPr>
      <w:ind w:left="579"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2025-09-04T06:14:00Z</dcterms:created>
  <dc:creator>H</dc:creator>
  <cp:lastModifiedBy>H</cp:lastModifiedBy>
  <dcterms:modified xsi:type="dcterms:W3CDTF">2025-09-04T06:16:41Z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27645AE1FD6B4FEBB984DE840E27FE70_11</vt:lpwstr>
  </property>
  <property fmtid="{D5CDD505-2E9C-101B-9397-08002B2CF9AE}" pid="4" name="KSOTemplateDocerSaveRecord">
    <vt:lpwstr>eyJoZGlkIjoiZDY2N2M0YWJhYWY5NDc5MzU2M2Q0ZDU4ZTBkMzMxNWQiLCJ1c2VySWQiOiI3MTE0MTYwMDcifQ==</vt:lpwstr>
  </property>
</Properties>
</file>